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9</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R1-2</w:t>
      </w:r>
      <w:r>
        <w:rPr>
          <w:rFonts w:hint="eastAsia"/>
          <w:b/>
          <w:lang w:eastAsia="zh-CN"/>
        </w:rPr>
        <w:t>2</w:t>
      </w:r>
      <w:r>
        <w:rPr>
          <w:b/>
          <w:lang w:eastAsia="zh-CN"/>
        </w:rPr>
        <w:t>0</w:t>
      </w:r>
      <w:r>
        <w:rPr>
          <w:rFonts w:hint="eastAsia"/>
          <w:b/>
          <w:lang w:val="en-US" w:eastAsia="zh-CN"/>
        </w:rPr>
        <w:t>5109</w:t>
      </w:r>
    </w:p>
    <w:p>
      <w:pPr>
        <w:pBdr>
          <w:bottom w:val="single" w:color="auto" w:sz="4" w:space="1"/>
        </w:pBdr>
        <w:spacing w:after="0"/>
        <w:jc w:val="left"/>
        <w:rPr>
          <w:b/>
          <w:lang w:eastAsia="zh-CN"/>
        </w:rPr>
      </w:pPr>
      <w:r>
        <w:rPr>
          <w:rFonts w:cs="Arial"/>
          <w:b/>
          <w:lang w:eastAsia="zh-CN"/>
        </w:rPr>
        <w:t xml:space="preserve">e-Meeting, </w:t>
      </w:r>
      <w:r>
        <w:rPr>
          <w:rFonts w:hint="eastAsia" w:cs="Arial"/>
          <w:b/>
          <w:lang w:eastAsia="zh-CN"/>
        </w:rPr>
        <w:t>May</w:t>
      </w:r>
      <w:r>
        <w:rPr>
          <w:rFonts w:cs="Arial"/>
          <w:b/>
          <w:lang w:eastAsia="zh-CN"/>
        </w:rPr>
        <w:t xml:space="preserve"> </w:t>
      </w:r>
      <w:r>
        <w:rPr>
          <w:rFonts w:hint="eastAsia" w:cs="Arial"/>
          <w:b/>
          <w:lang w:eastAsia="zh-CN"/>
        </w:rPr>
        <w:t>9</w:t>
      </w:r>
      <w:r>
        <w:rPr>
          <w:rFonts w:hint="eastAsia" w:cs="Arial"/>
          <w:b/>
          <w:vertAlign w:val="superscript"/>
          <w:lang w:eastAsia="zh-CN"/>
        </w:rPr>
        <w:t>th</w:t>
      </w:r>
      <w:r>
        <w:rPr>
          <w:rFonts w:cs="Arial"/>
          <w:b/>
          <w:lang w:eastAsia="zh-CN"/>
        </w:rPr>
        <w:t xml:space="preserve"> - </w:t>
      </w:r>
      <w:r>
        <w:rPr>
          <w:rFonts w:hint="eastAsia" w:cs="Arial"/>
          <w:b/>
          <w:lang w:eastAsia="zh-CN"/>
        </w:rPr>
        <w:t>20</w:t>
      </w:r>
      <w:r>
        <w:rPr>
          <w:rFonts w:hint="eastAsia" w:cs="Arial"/>
          <w:b/>
          <w:vertAlign w:val="superscript"/>
          <w:lang w:eastAsia="zh-CN"/>
        </w:rPr>
        <w:t>th</w:t>
      </w:r>
      <w:r>
        <w:rPr>
          <w:rFonts w:cs="Arial"/>
          <w:b/>
          <w:lang w:eastAsia="zh-CN"/>
        </w:rPr>
        <w:t>, 202</w:t>
      </w:r>
      <w:r>
        <w:rPr>
          <w:rFonts w:hint="eastAsia" w:cs="Arial"/>
          <w:b/>
          <w:lang w:eastAsia="zh-CN"/>
        </w:rPr>
        <w:t>2</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rFonts w:hint="eastAsia"/>
          <w:b/>
          <w:lang w:eastAsia="zh-CN"/>
        </w:rPr>
        <w:t>8.17</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rFonts w:hint="eastAsia"/>
          <w:b/>
          <w:lang w:eastAsia="zh-CN"/>
        </w:rPr>
        <w:t>S</w:t>
      </w:r>
      <w:r>
        <w:rPr>
          <w:b/>
          <w:lang w:eastAsia="zh-CN"/>
        </w:rPr>
        <w:t xml:space="preserve">ummary </w:t>
      </w:r>
      <w:r>
        <w:rPr>
          <w:rFonts w:hint="eastAsia"/>
          <w:b/>
          <w:lang w:eastAsia="zh-CN"/>
        </w:rPr>
        <w:t>of</w:t>
      </w:r>
      <w:r>
        <w:rPr>
          <w:b/>
          <w:lang w:eastAsia="zh-CN"/>
        </w:rPr>
        <w:t xml:space="preserve"> </w:t>
      </w:r>
      <w:r>
        <w:rPr>
          <w:rFonts w:hint="eastAsia"/>
          <w:b/>
          <w:lang w:eastAsia="zh-CN"/>
        </w:rPr>
        <w:t>preparation phase email discussion for Rel-17 SDT</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t xml:space="preserve">This document contains the summary of issues related to </w:t>
      </w:r>
      <w:r>
        <w:rPr>
          <w:rFonts w:hint="eastAsia"/>
          <w:lang w:eastAsia="zh-CN"/>
        </w:rPr>
        <w:t xml:space="preserve">the </w:t>
      </w:r>
      <w:r>
        <w:t>maintenance of Rel-1</w:t>
      </w:r>
      <w:r>
        <w:rPr>
          <w:rFonts w:hint="eastAsia"/>
          <w:lang w:eastAsia="zh-CN"/>
        </w:rPr>
        <w:t>7</w:t>
      </w:r>
      <w:r>
        <w:t xml:space="preserve"> </w:t>
      </w:r>
      <w:r>
        <w:rPr>
          <w:rFonts w:hint="eastAsia"/>
          <w:lang w:eastAsia="zh-CN"/>
        </w:rPr>
        <w:t>Small data transmission</w:t>
      </w:r>
      <w:r>
        <w:t xml:space="preserve"> WI in RAN1#10</w:t>
      </w:r>
      <w:r>
        <w:rPr>
          <w:rFonts w:hint="eastAsia"/>
          <w:lang w:eastAsia="zh-CN"/>
        </w:rPr>
        <w:t>9</w:t>
      </w:r>
      <w:r>
        <w:t>-e meeting.</w:t>
      </w:r>
      <w:r>
        <w:rPr>
          <w:rFonts w:hint="eastAsia"/>
          <w:lang w:eastAsia="zh-CN"/>
        </w:rPr>
        <w:t xml:space="preserve"> The following email discussion is initiated to collect companies</w:t>
      </w:r>
      <w:r>
        <w:rPr>
          <w:lang w:eastAsia="zh-CN"/>
        </w:rPr>
        <w:t>’</w:t>
      </w:r>
      <w:r>
        <w:rPr>
          <w:rFonts w:hint="eastAsia"/>
          <w:lang w:eastAsia="zh-CN"/>
        </w:rPr>
        <w:t xml:space="preserve"> views:</w:t>
      </w:r>
    </w:p>
    <w:p>
      <w:pPr>
        <w:rPr>
          <w:rFonts w:eastAsia="宋体"/>
          <w:lang w:eastAsia="zh-CN"/>
        </w:rPr>
      </w:pPr>
      <w:r>
        <w:rPr>
          <w:rFonts w:ascii="Arial" w:hAnsi="Arial" w:eastAsia="宋体" w:cs="Arial"/>
          <w:color w:val="000000"/>
          <w:shd w:val="clear" w:color="auto" w:fill="00FFFF"/>
        </w:rPr>
        <w:t>[109-e-Prep-AI8.17 SDT]</w:t>
      </w:r>
      <w:r>
        <w:rPr>
          <w:rFonts w:hint="eastAsia" w:ascii="Arial" w:hAnsi="Arial" w:eastAsia="宋体" w:cs="Arial"/>
          <w:color w:val="000000"/>
          <w:shd w:val="clear" w:color="auto" w:fill="00FFFF"/>
          <w:lang w:eastAsia="zh-CN"/>
        </w:rPr>
        <w:t xml:space="preserve"> Preparation phase for Rel-17 NR SDT maintenance - Ziyang(ZTE)</w:t>
      </w:r>
    </w:p>
    <w:p/>
    <w:bookmarkEnd w:id="2"/>
    <w:p>
      <w:pPr>
        <w:pStyle w:val="2"/>
        <w:ind w:left="431" w:hanging="431"/>
      </w:pPr>
      <w:r>
        <w:rPr>
          <w:rFonts w:hint="eastAsia"/>
          <w:lang w:eastAsia="zh-CN"/>
        </w:rPr>
        <w:t>Preparation phase discussion</w:t>
      </w:r>
    </w:p>
    <w:p>
      <w:r>
        <w:rPr>
          <w:rFonts w:hint="eastAsia"/>
        </w:rPr>
        <w:t xml:space="preserve">The following </w:t>
      </w:r>
      <w:r>
        <w:rPr>
          <w:rFonts w:hint="eastAsia"/>
          <w:lang w:eastAsia="zh-CN"/>
        </w:rPr>
        <w:t>issues are collected from companies</w:t>
      </w:r>
      <w:r>
        <w:rPr>
          <w:lang w:eastAsia="zh-CN"/>
        </w:rPr>
        <w:t>’</w:t>
      </w:r>
      <w:r>
        <w:rPr>
          <w:rFonts w:hint="eastAsia"/>
          <w:lang w:eastAsia="zh-CN"/>
        </w:rPr>
        <w:t xml:space="preserve"> contributions and summarized for</w:t>
      </w:r>
      <w:r>
        <w:rPr>
          <w:rFonts w:hint="eastAsia"/>
        </w:rPr>
        <w:t xml:space="preserve"> </w:t>
      </w:r>
      <w:r>
        <w:t>the maintenance of Rel-1</w:t>
      </w:r>
      <w:r>
        <w:rPr>
          <w:rFonts w:hint="eastAsia"/>
          <w:lang w:eastAsia="zh-CN"/>
        </w:rPr>
        <w:t>7 SDT</w:t>
      </w:r>
      <w:r>
        <w:t xml:space="preserve"> in </w:t>
      </w:r>
      <w:r>
        <w:rPr>
          <w:rFonts w:hint="eastAsia"/>
        </w:rPr>
        <w:t>RAN1#10</w:t>
      </w:r>
      <w:r>
        <w:rPr>
          <w:rFonts w:hint="eastAsia"/>
          <w:lang w:eastAsia="zh-CN"/>
        </w:rPr>
        <w:t>9</w:t>
      </w:r>
      <w:r>
        <w:rPr>
          <w:rFonts w:hint="eastAsia"/>
        </w:rPr>
        <w:t>-e.</w:t>
      </w:r>
    </w:p>
    <w:tbl>
      <w:tblPr>
        <w:tblStyle w:val="33"/>
        <w:tblW w:w="96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7563"/>
        <w:gridCol w:w="1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3" w:type="dxa"/>
          </w:tcPr>
          <w:p>
            <w:pPr>
              <w:widowControl w:val="0"/>
              <w:spacing w:after="0"/>
            </w:pPr>
            <w:r>
              <w:rPr>
                <w:rFonts w:hint="eastAsia"/>
                <w:lang w:eastAsia="zh-CN"/>
              </w:rPr>
              <w:t>Issue</w:t>
            </w:r>
            <w:r>
              <w:rPr>
                <w:rFonts w:hint="eastAsia"/>
              </w:rPr>
              <w:t xml:space="preserve"> #</w:t>
            </w:r>
          </w:p>
        </w:tc>
        <w:tc>
          <w:tcPr>
            <w:tcW w:w="7563" w:type="dxa"/>
          </w:tcPr>
          <w:p>
            <w:pPr>
              <w:widowControl w:val="0"/>
              <w:spacing w:after="0"/>
            </w:pPr>
            <w:r>
              <w:rPr>
                <w:rFonts w:hint="eastAsia"/>
              </w:rPr>
              <w:t>Description</w:t>
            </w:r>
          </w:p>
        </w:tc>
        <w:tc>
          <w:tcPr>
            <w:tcW w:w="1371" w:type="dxa"/>
          </w:tcPr>
          <w:p>
            <w:pPr>
              <w:widowControl w:val="0"/>
              <w:spacing w:after="0"/>
            </w:pPr>
            <w:r>
              <w:rPr>
                <w:rFonts w:hint="eastAsia"/>
              </w:rPr>
              <w:t xml:space="preserve">TDoc </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1</w:t>
            </w:r>
          </w:p>
        </w:tc>
        <w:tc>
          <w:tcPr>
            <w:tcW w:w="7563" w:type="dxa"/>
          </w:tcPr>
          <w:p>
            <w:pPr>
              <w:widowControl w:val="0"/>
              <w:spacing w:after="0"/>
              <w:rPr>
                <w:lang w:eastAsia="zh-CN"/>
              </w:rPr>
            </w:pPr>
            <w:r>
              <w:rPr>
                <w:rFonts w:hint="eastAsia"/>
                <w:lang w:eastAsia="zh-CN"/>
              </w:rPr>
              <w:t>In RAN1#108-e, CG period values smaller than 5ms are FFS to determine the association period between SSB and CG PUSCH, it</w:t>
            </w:r>
            <w:r>
              <w:rPr>
                <w:lang w:eastAsia="zh-CN"/>
              </w:rPr>
              <w:t>’</w:t>
            </w:r>
            <w:r>
              <w:rPr>
                <w:rFonts w:hint="eastAsia"/>
                <w:lang w:eastAsia="zh-CN"/>
              </w:rPr>
              <w:t>s proposed to discuss these values and decide whether to include them into Table 19.1-1 in section 19.1 in TS 38.213.</w:t>
            </w:r>
          </w:p>
        </w:tc>
        <w:tc>
          <w:tcPr>
            <w:tcW w:w="1371" w:type="dxa"/>
          </w:tcPr>
          <w:p>
            <w:pPr>
              <w:widowControl w:val="0"/>
              <w:spacing w:after="0"/>
              <w:rPr>
                <w:lang w:val="sv-SE" w:eastAsia="zh-CN"/>
              </w:rPr>
            </w:pPr>
            <w:r>
              <w:rPr>
                <w:rFonts w:hint="eastAsia"/>
                <w:lang w:val="sv-SE" w:eastAsia="zh-CN"/>
              </w:rPr>
              <w:t>R1-2203244 ZTE</w:t>
            </w:r>
          </w:p>
          <w:p>
            <w:pPr>
              <w:widowControl w:val="0"/>
              <w:spacing w:after="0"/>
              <w:rPr>
                <w:lang w:val="sv-SE" w:eastAsia="zh-CN"/>
              </w:rPr>
            </w:pPr>
            <w:r>
              <w:rPr>
                <w:rFonts w:hint="eastAsia"/>
                <w:lang w:val="sv-SE" w:eastAsia="zh-CN"/>
              </w:rPr>
              <w:t>R1-2203540 vivo</w:t>
            </w:r>
          </w:p>
          <w:p>
            <w:pPr>
              <w:widowControl w:val="0"/>
              <w:spacing w:after="0"/>
              <w:rPr>
                <w:lang w:val="sv-SE" w:eastAsia="zh-CN"/>
              </w:rPr>
            </w:pPr>
            <w:r>
              <w:rPr>
                <w:rFonts w:hint="eastAsia"/>
                <w:lang w:val="sv-SE" w:eastAsia="zh-CN"/>
              </w:rPr>
              <w:t>R1-2203885 Samsung</w:t>
            </w:r>
          </w:p>
          <w:p>
            <w:pPr>
              <w:widowControl w:val="0"/>
              <w:spacing w:after="0"/>
              <w:rPr>
                <w:lang w:eastAsia="zh-CN"/>
              </w:rPr>
            </w:pPr>
            <w:r>
              <w:rPr>
                <w:rFonts w:hint="eastAsia"/>
                <w:lang w:eastAsia="zh-CN"/>
              </w:rPr>
              <w:t>R1-2204784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2</w:t>
            </w:r>
          </w:p>
        </w:tc>
        <w:tc>
          <w:tcPr>
            <w:tcW w:w="7563" w:type="dxa"/>
          </w:tcPr>
          <w:p>
            <w:pPr>
              <w:widowControl w:val="0"/>
              <w:spacing w:after="0"/>
              <w:rPr>
                <w:lang w:eastAsia="zh-CN"/>
              </w:rPr>
            </w:pPr>
            <w:r>
              <w:rPr>
                <w:rFonts w:hint="eastAsia"/>
                <w:lang w:eastAsia="zh-CN"/>
              </w:rPr>
              <w:t xml:space="preserve">For RedCap UE supporting SDT, which type of SSBs(e.g. CD-SSB) for TA validation and mapping should be clarified, in addition, if separate initial DL BWP does not include any SSBs, the SSBs associated with initial DL BWP can be used for SSB to CG PUSCH mapping. </w:t>
            </w:r>
          </w:p>
        </w:tc>
        <w:tc>
          <w:tcPr>
            <w:tcW w:w="1371" w:type="dxa"/>
          </w:tcPr>
          <w:p>
            <w:pPr>
              <w:widowControl w:val="0"/>
              <w:spacing w:after="0"/>
              <w:rPr>
                <w:lang w:eastAsia="zh-CN"/>
              </w:rPr>
            </w:pPr>
            <w:r>
              <w:rPr>
                <w:rFonts w:hint="eastAsia"/>
                <w:lang w:eastAsia="zh-CN"/>
              </w:rPr>
              <w:t>R1-2203244 ZTE</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3</w:t>
            </w:r>
          </w:p>
        </w:tc>
        <w:tc>
          <w:tcPr>
            <w:tcW w:w="7563" w:type="dxa"/>
          </w:tcPr>
          <w:p>
            <w:pPr>
              <w:widowControl w:val="0"/>
              <w:spacing w:after="0"/>
              <w:rPr>
                <w:lang w:eastAsia="zh-CN"/>
              </w:rPr>
            </w:pPr>
            <w:r>
              <w:rPr>
                <w:rFonts w:hint="eastAsia"/>
                <w:lang w:eastAsia="zh-CN"/>
              </w:rPr>
              <w:t xml:space="preserve">The meaning of </w:t>
            </w:r>
            <w:r>
              <w:rPr>
                <w:i/>
              </w:rPr>
              <w:t>sdt-CB-PreamblesPerSSB-PerSharedRO</w:t>
            </w:r>
            <w:r>
              <w:rPr>
                <w:rFonts w:hint="eastAsia"/>
                <w:i/>
                <w:lang w:eastAsia="zh-CN"/>
              </w:rPr>
              <w:t>/</w:t>
            </w:r>
            <w:r>
              <w:rPr>
                <w:i/>
              </w:rPr>
              <w:t>sdt-msgA-CB-PreamblesPerSSB-PerSharedRO</w:t>
            </w:r>
            <w:r>
              <w:rPr>
                <w:rFonts w:hint="eastAsia"/>
                <w:iCs/>
                <w:lang w:eastAsia="zh-CN"/>
              </w:rPr>
              <w:t xml:space="preserve"> should be a number of preambles instead of a number of SSBs. It</w:t>
            </w:r>
            <w:r>
              <w:rPr>
                <w:iCs/>
                <w:lang w:eastAsia="zh-CN"/>
              </w:rPr>
              <w:t>’</w:t>
            </w:r>
            <w:r>
              <w:rPr>
                <w:rFonts w:hint="eastAsia"/>
                <w:iCs/>
                <w:lang w:eastAsia="zh-CN"/>
              </w:rPr>
              <w:t>s also proposed to align some parameter names in TS 38.213 with  RAN2 TS 38.331.</w:t>
            </w:r>
          </w:p>
        </w:tc>
        <w:tc>
          <w:tcPr>
            <w:tcW w:w="1371" w:type="dxa"/>
          </w:tcPr>
          <w:p>
            <w:pPr>
              <w:widowControl w:val="0"/>
              <w:spacing w:after="0"/>
              <w:rPr>
                <w:lang w:eastAsia="zh-CN"/>
              </w:rPr>
            </w:pPr>
            <w:r>
              <w:rPr>
                <w:rFonts w:hint="eastAsia"/>
                <w:lang w:eastAsia="zh-CN"/>
              </w:rPr>
              <w:t>R1-2203244 ZTE</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4</w:t>
            </w:r>
          </w:p>
        </w:tc>
        <w:tc>
          <w:tcPr>
            <w:tcW w:w="7563" w:type="dxa"/>
          </w:tcPr>
          <w:p>
            <w:pPr>
              <w:widowControl w:val="0"/>
              <w:spacing w:after="0"/>
              <w:rPr>
                <w:lang w:eastAsia="zh-CN"/>
              </w:rPr>
            </w:pPr>
            <w:r>
              <w:rPr>
                <w:rFonts w:hint="eastAsia"/>
                <w:lang w:eastAsia="zh-CN"/>
              </w:rPr>
              <w:t xml:space="preserve">The parameter for USS set of CG-SDT </w:t>
            </w:r>
            <w:r>
              <w:rPr>
                <w:rFonts w:hint="eastAsia"/>
                <w:i/>
                <w:iCs/>
                <w:lang w:eastAsia="zh-CN"/>
              </w:rPr>
              <w:t>sdt-CG-SearchSpace</w:t>
            </w:r>
            <w:r>
              <w:rPr>
                <w:rFonts w:hint="eastAsia"/>
                <w:lang w:eastAsia="zh-CN"/>
              </w:rPr>
              <w:t xml:space="preserve"> is not defined in RAN2 in TS 38.331, it</w:t>
            </w:r>
            <w:r>
              <w:rPr>
                <w:lang w:eastAsia="zh-CN"/>
              </w:rPr>
              <w:t>’</w:t>
            </w:r>
            <w:r>
              <w:rPr>
                <w:rFonts w:hint="eastAsia"/>
                <w:lang w:eastAsia="zh-CN"/>
              </w:rPr>
              <w:t xml:space="preserve">s proposed to remove </w:t>
            </w:r>
            <w:r>
              <w:rPr>
                <w:rFonts w:hint="eastAsia"/>
                <w:i/>
                <w:iCs/>
                <w:lang w:eastAsia="zh-CN"/>
              </w:rPr>
              <w:t>sdt-CG-SearchSpace</w:t>
            </w:r>
            <w:r>
              <w:rPr>
                <w:rFonts w:hint="eastAsia"/>
                <w:lang w:eastAsia="zh-CN"/>
              </w:rPr>
              <w:t xml:space="preserve"> in RAN1 spec TS 38.213.</w:t>
            </w:r>
          </w:p>
        </w:tc>
        <w:tc>
          <w:tcPr>
            <w:tcW w:w="1371" w:type="dxa"/>
          </w:tcPr>
          <w:p>
            <w:pPr>
              <w:widowControl w:val="0"/>
              <w:spacing w:after="0"/>
              <w:rPr>
                <w:lang w:eastAsia="zh-CN"/>
              </w:rPr>
            </w:pPr>
            <w:r>
              <w:rPr>
                <w:rFonts w:hint="eastAsia"/>
                <w:lang w:eastAsia="zh-CN"/>
              </w:rPr>
              <w:t>R1-2203244 ZTE</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5</w:t>
            </w:r>
          </w:p>
        </w:tc>
        <w:tc>
          <w:tcPr>
            <w:tcW w:w="7563" w:type="dxa"/>
          </w:tcPr>
          <w:p>
            <w:pPr>
              <w:widowControl w:val="0"/>
              <w:spacing w:after="0"/>
              <w:rPr>
                <w:lang w:eastAsia="zh-CN"/>
              </w:rPr>
            </w:pPr>
            <w:r>
              <w:rPr>
                <w:rFonts w:hint="eastAsia"/>
                <w:lang w:eastAsia="zh-CN"/>
              </w:rPr>
              <w:t>Whether UE specific TDRA table can be configured in RRC release message for CG-SDT.</w:t>
            </w:r>
          </w:p>
        </w:tc>
        <w:tc>
          <w:tcPr>
            <w:tcW w:w="1371" w:type="dxa"/>
          </w:tcPr>
          <w:p>
            <w:pPr>
              <w:widowControl w:val="0"/>
              <w:spacing w:after="0"/>
              <w:rPr>
                <w:lang w:eastAsia="zh-CN"/>
              </w:rPr>
            </w:pPr>
            <w:r>
              <w:rPr>
                <w:rFonts w:hint="eastAsia"/>
                <w:lang w:eastAsia="zh-CN"/>
              </w:rPr>
              <w:t>R1-2203540 vivo</w:t>
            </w:r>
          </w:p>
          <w:p>
            <w:pPr>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6</w:t>
            </w:r>
          </w:p>
        </w:tc>
        <w:tc>
          <w:tcPr>
            <w:tcW w:w="7563" w:type="dxa"/>
          </w:tcPr>
          <w:p>
            <w:pPr>
              <w:widowControl w:val="0"/>
              <w:spacing w:after="0"/>
              <w:rPr>
                <w:lang w:eastAsia="zh-CN"/>
              </w:rPr>
            </w:pPr>
            <w:r>
              <w:rPr>
                <w:rFonts w:hint="eastAsia"/>
                <w:lang w:eastAsia="zh-CN"/>
              </w:rPr>
              <w:t>For CG-SDT overlapping with MsgA PUSCH, continue to discuss the validation rule.</w:t>
            </w:r>
          </w:p>
        </w:tc>
        <w:tc>
          <w:tcPr>
            <w:tcW w:w="1371" w:type="dxa"/>
          </w:tcPr>
          <w:p>
            <w:pPr>
              <w:widowControl w:val="0"/>
              <w:spacing w:after="0"/>
              <w:rPr>
                <w:lang w:eastAsia="zh-CN"/>
              </w:rPr>
            </w:pPr>
            <w:r>
              <w:rPr>
                <w:rFonts w:hint="eastAsia"/>
                <w:lang w:eastAsia="zh-CN"/>
              </w:rPr>
              <w:t>R1-2203540 vivo</w:t>
            </w:r>
          </w:p>
          <w:p>
            <w:pPr>
              <w:widowControl w:val="0"/>
              <w:spacing w:after="0"/>
              <w:rPr>
                <w:lang w:eastAsia="zh-CN"/>
              </w:rPr>
            </w:pPr>
            <w:r>
              <w:rPr>
                <w:rFonts w:hint="eastAsia"/>
                <w:lang w:eastAsia="zh-CN"/>
              </w:rPr>
              <w:t>R1-2203637 Ericsson</w:t>
            </w:r>
          </w:p>
          <w:p>
            <w:pPr>
              <w:widowControl w:val="0"/>
              <w:spacing w:after="0"/>
              <w:rPr>
                <w:lang w:eastAsia="zh-CN"/>
              </w:rPr>
            </w:pPr>
            <w:r>
              <w:rPr>
                <w:rFonts w:hint="eastAsia"/>
                <w:lang w:eastAsia="zh-CN"/>
              </w:rPr>
              <w:t>R1-2203767 Xiaomi</w:t>
            </w:r>
          </w:p>
          <w:p>
            <w:pPr>
              <w:widowControl w:val="0"/>
              <w:spacing w:after="0"/>
              <w:rPr>
                <w:lang w:eastAsia="zh-CN"/>
              </w:rPr>
            </w:pPr>
            <w:r>
              <w:rPr>
                <w:rFonts w:hint="eastAsia"/>
                <w:lang w:eastAsia="zh-CN"/>
              </w:rPr>
              <w:t>R1-2204784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7</w:t>
            </w:r>
          </w:p>
        </w:tc>
        <w:tc>
          <w:tcPr>
            <w:tcW w:w="7563" w:type="dxa"/>
          </w:tcPr>
          <w:p>
            <w:pPr>
              <w:widowControl w:val="0"/>
              <w:spacing w:after="0"/>
              <w:rPr>
                <w:lang w:eastAsia="zh-CN"/>
              </w:rPr>
            </w:pPr>
            <w:r>
              <w:rPr>
                <w:rFonts w:hint="eastAsia"/>
                <w:lang w:eastAsia="zh-CN"/>
              </w:rPr>
              <w:t>For RedCap UE supporting SDT, if CG-SDT resource overlaps with DL resource, discuss the validation rule.</w:t>
            </w:r>
          </w:p>
        </w:tc>
        <w:tc>
          <w:tcPr>
            <w:tcW w:w="1371" w:type="dxa"/>
          </w:tcPr>
          <w:p>
            <w:pPr>
              <w:widowControl w:val="0"/>
              <w:spacing w:after="0"/>
              <w:rPr>
                <w:lang w:eastAsia="zh-CN"/>
              </w:rPr>
            </w:pPr>
            <w:r>
              <w:rPr>
                <w:rFonts w:hint="eastAsia"/>
                <w:lang w:eastAsia="zh-CN"/>
              </w:rPr>
              <w:t>R1-2203767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8</w:t>
            </w:r>
          </w:p>
        </w:tc>
        <w:tc>
          <w:tcPr>
            <w:tcW w:w="7563" w:type="dxa"/>
          </w:tcPr>
          <w:p>
            <w:pPr>
              <w:widowControl w:val="0"/>
              <w:spacing w:after="0"/>
              <w:rPr>
                <w:lang w:eastAsia="zh-CN"/>
              </w:rPr>
            </w:pPr>
            <w:r>
              <w:rPr>
                <w:rFonts w:hint="eastAsia"/>
                <w:lang w:eastAsia="zh-CN"/>
              </w:rPr>
              <w:t>For RedCap UE supporting SDT, if separate initial BWP is configured, whether and how to configure RA-SDT and CG-SDT resource on separate initial BWP.</w:t>
            </w:r>
          </w:p>
        </w:tc>
        <w:tc>
          <w:tcPr>
            <w:tcW w:w="1371" w:type="dxa"/>
          </w:tcPr>
          <w:p>
            <w:pPr>
              <w:widowControl w:val="0"/>
              <w:spacing w:after="0"/>
              <w:rPr>
                <w:lang w:eastAsia="zh-CN"/>
              </w:rPr>
            </w:pPr>
            <w:r>
              <w:rPr>
                <w:rFonts w:hint="eastAsia"/>
                <w:lang w:eastAsia="zh-CN"/>
              </w:rPr>
              <w:t>R1-2203767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9</w:t>
            </w:r>
          </w:p>
        </w:tc>
        <w:tc>
          <w:tcPr>
            <w:tcW w:w="7563" w:type="dxa"/>
          </w:tcPr>
          <w:p>
            <w:pPr>
              <w:widowControl w:val="0"/>
              <w:spacing w:after="0"/>
              <w:rPr>
                <w:lang w:eastAsia="zh-CN"/>
              </w:rPr>
            </w:pPr>
            <w:r>
              <w:rPr>
                <w:rFonts w:hint="eastAsia"/>
                <w:lang w:eastAsia="zh-CN"/>
              </w:rPr>
              <w:t>QCL relationship between PDCCH and SSBs has already been defined, whether to define QCL relationship between PDSCH and SSBs associated with CG PUSCH or PRACH for CG-SDT and RA-SDT respectively.</w:t>
            </w:r>
          </w:p>
        </w:tc>
        <w:tc>
          <w:tcPr>
            <w:tcW w:w="1371" w:type="dxa"/>
          </w:tcPr>
          <w:p>
            <w:pPr>
              <w:widowControl w:val="0"/>
              <w:spacing w:after="0"/>
              <w:rPr>
                <w:lang w:eastAsia="zh-CN"/>
              </w:rPr>
            </w:pPr>
            <w:r>
              <w:rPr>
                <w:rFonts w:hint="eastAsia"/>
                <w:lang w:eastAsia="zh-CN"/>
              </w:rPr>
              <w:t>R1-2203767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10</w:t>
            </w:r>
          </w:p>
        </w:tc>
        <w:tc>
          <w:tcPr>
            <w:tcW w:w="7563" w:type="dxa"/>
          </w:tcPr>
          <w:p>
            <w:pPr>
              <w:widowControl w:val="0"/>
              <w:spacing w:after="0"/>
              <w:rPr>
                <w:lang w:eastAsia="zh-CN"/>
              </w:rPr>
            </w:pPr>
            <w:r>
              <w:rPr>
                <w:rFonts w:hint="eastAsia"/>
                <w:lang w:eastAsia="zh-CN"/>
              </w:rPr>
              <w:t>Whether to support repetition for CG-SDT</w:t>
            </w:r>
          </w:p>
        </w:tc>
        <w:tc>
          <w:tcPr>
            <w:tcW w:w="1371" w:type="dxa"/>
          </w:tcPr>
          <w:p>
            <w:pPr>
              <w:widowControl w:val="0"/>
              <w:spacing w:after="0"/>
              <w:rPr>
                <w:lang w:eastAsia="zh-CN"/>
              </w:rPr>
            </w:pPr>
            <w:r>
              <w:rPr>
                <w:rFonts w:hint="eastAsia"/>
                <w:lang w:eastAsia="zh-CN"/>
              </w:rPr>
              <w:t>R1-2203885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13" w:type="dxa"/>
          </w:tcPr>
          <w:p>
            <w:pPr>
              <w:widowControl w:val="0"/>
              <w:spacing w:after="0"/>
              <w:rPr>
                <w:lang w:eastAsia="zh-CN"/>
              </w:rPr>
            </w:pPr>
            <w:r>
              <w:rPr>
                <w:rFonts w:hint="eastAsia"/>
                <w:lang w:eastAsia="zh-CN"/>
              </w:rPr>
              <w:t>11</w:t>
            </w:r>
          </w:p>
        </w:tc>
        <w:tc>
          <w:tcPr>
            <w:tcW w:w="7563" w:type="dxa"/>
          </w:tcPr>
          <w:p>
            <w:pPr>
              <w:widowControl w:val="0"/>
              <w:tabs>
                <w:tab w:val="left" w:pos="1418"/>
                <w:tab w:val="left" w:pos="4678"/>
                <w:tab w:val="left" w:pos="5954"/>
                <w:tab w:val="left" w:pos="7088"/>
              </w:tabs>
              <w:autoSpaceDE/>
              <w:autoSpaceDN/>
              <w:adjustRightInd/>
              <w:rPr>
                <w:kern w:val="2"/>
                <w:lang w:eastAsia="zh-CN"/>
              </w:rPr>
            </w:pPr>
            <w:r>
              <w:rPr>
                <w:lang w:val="en-GB" w:eastAsia="zh-CN"/>
              </w:rPr>
              <w:t>When the QCL-TypeD property of PDCCH in Type-1A CSS is different from the QCL-TypeD property of PDCCH in Type-1 CSS and, and both PDCCHs or associated PDSCH are overlapping or partially overlapping in time, a UE does not expect to monitor the PDCCH in a Type-1A CSS.</w:t>
            </w:r>
          </w:p>
          <w:p>
            <w:pPr>
              <w:widowControl w:val="0"/>
              <w:spacing w:after="0"/>
              <w:rPr>
                <w:lang w:eastAsia="zh-CN"/>
              </w:rPr>
            </w:pPr>
          </w:p>
        </w:tc>
        <w:tc>
          <w:tcPr>
            <w:tcW w:w="1371" w:type="dxa"/>
          </w:tcPr>
          <w:p>
            <w:pPr>
              <w:widowControl w:val="0"/>
              <w:spacing w:after="0"/>
              <w:rPr>
                <w:lang w:eastAsia="zh-CN"/>
              </w:rPr>
            </w:pPr>
            <w:r>
              <w:rPr>
                <w:rFonts w:hint="eastAsia"/>
                <w:lang w:eastAsia="zh-CN"/>
              </w:rPr>
              <w:t>R1-2204518 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13" w:type="dxa"/>
          </w:tcPr>
          <w:p>
            <w:pPr>
              <w:widowControl w:val="0"/>
              <w:spacing w:after="0"/>
              <w:rPr>
                <w:lang w:eastAsia="zh-CN"/>
              </w:rPr>
            </w:pPr>
            <w:r>
              <w:rPr>
                <w:rFonts w:hint="eastAsia"/>
                <w:lang w:eastAsia="zh-CN"/>
              </w:rPr>
              <w:t>12</w:t>
            </w:r>
          </w:p>
        </w:tc>
        <w:tc>
          <w:tcPr>
            <w:tcW w:w="7563" w:type="dxa"/>
          </w:tcPr>
          <w:p>
            <w:pPr>
              <w:widowControl w:val="0"/>
              <w:spacing w:after="0"/>
              <w:rPr>
                <w:lang w:eastAsia="zh-CN"/>
              </w:rPr>
            </w:pPr>
            <w:r>
              <w:rPr>
                <w:rFonts w:hint="eastAsia"/>
                <w:iCs/>
                <w:lang w:eastAsia="zh-CN"/>
              </w:rPr>
              <w:t xml:space="preserve">For CG-SDT, </w:t>
            </w:r>
            <w:r>
              <w:rPr>
                <w:iCs/>
              </w:rPr>
              <w:t xml:space="preserve">PUCCH </w:t>
            </w:r>
            <w:r>
              <w:t xml:space="preserve">carrying HARQ-ACK feedback in response to a PDSCH is transmitted </w:t>
            </w:r>
            <w:r>
              <w:rPr>
                <w:u w:val="single"/>
              </w:rPr>
              <w:t>in a same initial UL BWP</w:t>
            </w:r>
            <w:r>
              <w:t xml:space="preserve"> as last PUSCH transmission. </w:t>
            </w:r>
          </w:p>
        </w:tc>
        <w:tc>
          <w:tcPr>
            <w:tcW w:w="1371" w:type="dxa"/>
          </w:tcPr>
          <w:p>
            <w:pPr>
              <w:widowControl w:val="0"/>
              <w:spacing w:after="0"/>
              <w:rPr>
                <w:lang w:eastAsia="zh-CN"/>
              </w:rPr>
            </w:pPr>
            <w:r>
              <w:rPr>
                <w:rFonts w:hint="eastAsia"/>
                <w:lang w:eastAsia="zh-CN"/>
              </w:rPr>
              <w:t>R1-2204784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13" w:type="dxa"/>
            <w:shd w:val="clear" w:color="auto" w:fill="C7DAF1" w:themeFill="text2" w:themeFillTint="32"/>
          </w:tcPr>
          <w:p>
            <w:pPr>
              <w:widowControl w:val="0"/>
              <w:spacing w:after="0"/>
              <w:rPr>
                <w:rFonts w:hint="default"/>
                <w:lang w:val="en-US" w:eastAsia="zh-CN"/>
              </w:rPr>
            </w:pPr>
            <w:r>
              <w:rPr>
                <w:rFonts w:hint="eastAsia"/>
                <w:lang w:val="en-US" w:eastAsia="zh-CN"/>
              </w:rPr>
              <w:t>13</w:t>
            </w:r>
          </w:p>
        </w:tc>
        <w:tc>
          <w:tcPr>
            <w:tcW w:w="7563" w:type="dxa"/>
            <w:shd w:val="clear" w:color="auto" w:fill="C7DAF1" w:themeFill="text2" w:themeFillTint="32"/>
          </w:tcPr>
          <w:p>
            <w:pPr>
              <w:pStyle w:val="177"/>
              <w:widowControl w:val="0"/>
              <w:numPr>
                <w:ilvl w:val="0"/>
                <w:numId w:val="9"/>
              </w:numPr>
              <w:spacing w:line="240" w:lineRule="auto"/>
              <w:ind w:firstLineChars="0"/>
            </w:pPr>
            <w:r>
              <w:rPr>
                <w:lang w:eastAsia="zh-CN"/>
              </w:rPr>
              <w:t xml:space="preserve">Besides TA validation, cell reselection, CG resource reselection also needs considered during </w:t>
            </w:r>
            <w:r>
              <w:t>Subsequent data transmission.</w:t>
            </w:r>
          </w:p>
          <w:p>
            <w:pPr>
              <w:pStyle w:val="177"/>
              <w:widowControl w:val="0"/>
              <w:ind w:left="360" w:firstLine="0" w:firstLineChars="0"/>
            </w:pPr>
            <w:r>
              <w:t>Similarly, as agreed in RedCap, Paging is only in the BWP associated with CD-SSB. The following agreement are made in SDT, we think</w:t>
            </w:r>
            <w:r>
              <w:rPr>
                <w:lang w:eastAsia="zh-CN"/>
              </w:rPr>
              <w:t xml:space="preserve"> it is not clear if RAN2 intends to allow this possibility that a UE does not monitor SI change or PWS notification, especially when the </w:t>
            </w:r>
            <w:r>
              <w:rPr>
                <w:rFonts w:hint="eastAsia"/>
                <w:lang w:eastAsia="zh-CN"/>
              </w:rPr>
              <w:t>separate initial DL BWP does not include any SSBs</w:t>
            </w:r>
            <w:r>
              <w:rPr>
                <w:lang w:eastAsia="zh-CN"/>
              </w:rPr>
              <w:t xml:space="preserve"> and CORESET#0</w:t>
            </w:r>
          </w:p>
          <w:p>
            <w:pPr>
              <w:widowControl w:val="0"/>
              <w:tabs>
                <w:tab w:val="left" w:pos="772"/>
              </w:tabs>
              <w:spacing w:after="0"/>
              <w:rPr>
                <w:bCs/>
                <w:highlight w:val="green"/>
                <w:shd w:val="pct10" w:color="auto" w:fill="FFFFFF"/>
              </w:rPr>
            </w:pPr>
            <w:r>
              <w:rPr>
                <w:shd w:val="pct10" w:color="auto" w:fill="FFFFFF"/>
              </w:rPr>
              <w:t xml:space="preserve">RAN2#116b-e </w:t>
            </w:r>
            <w:r>
              <w:rPr>
                <w:highlight w:val="green"/>
                <w:shd w:val="pct10" w:color="auto" w:fill="FFFFFF"/>
              </w:rPr>
              <w:t>Agreement for SDT</w:t>
            </w:r>
          </w:p>
          <w:p>
            <w:pPr>
              <w:widowControl w:val="0"/>
              <w:overflowPunct w:val="0"/>
              <w:snapToGrid/>
              <w:spacing w:after="180"/>
              <w:jc w:val="left"/>
              <w:textAlignment w:val="baseline"/>
              <w:rPr>
                <w:rFonts w:eastAsia="等线"/>
                <w:sz w:val="20"/>
                <w:szCs w:val="20"/>
                <w:shd w:val="pct10" w:color="auto" w:fill="FFFFFF"/>
                <w:lang w:val="en-GB" w:eastAsia="en-GB"/>
              </w:rPr>
            </w:pPr>
            <w:r>
              <w:rPr>
                <w:rFonts w:eastAsia="等线"/>
                <w:sz w:val="20"/>
                <w:szCs w:val="20"/>
                <w:shd w:val="pct10" w:color="auto" w:fill="FFFFFF"/>
                <w:lang w:val="en-GB" w:eastAsia="en-GB"/>
              </w:rPr>
              <w:t>9.</w:t>
            </w:r>
            <w:r>
              <w:rPr>
                <w:rFonts w:eastAsia="等线"/>
                <w:sz w:val="20"/>
                <w:szCs w:val="20"/>
                <w:shd w:val="pct10" w:color="auto" w:fill="FFFFFF"/>
                <w:lang w:val="en-GB" w:eastAsia="en-GB"/>
              </w:rPr>
              <w:tab/>
            </w:r>
            <w:r>
              <w:rPr>
                <w:rFonts w:eastAsia="等线"/>
                <w:sz w:val="20"/>
                <w:szCs w:val="20"/>
                <w:shd w:val="pct10" w:color="auto" w:fill="FFFFFF"/>
                <w:lang w:val="en-GB" w:eastAsia="en-GB"/>
              </w:rPr>
              <w:t xml:space="preserve">During the SDT procedure (i.e. while SDT timer is running), UE monitors SI change indication in any paging occasion at least once per modification period (i.e. same as legacy RRC_CONNECTED). </w:t>
            </w:r>
          </w:p>
          <w:p>
            <w:pPr>
              <w:widowControl w:val="0"/>
              <w:rPr>
                <w:shd w:val="pct10" w:color="auto" w:fill="FFFFFF"/>
              </w:rPr>
            </w:pPr>
            <w:r>
              <w:rPr>
                <w:rFonts w:eastAsia="等线"/>
                <w:sz w:val="20"/>
                <w:szCs w:val="20"/>
                <w:shd w:val="pct10" w:color="auto" w:fill="FFFFFF"/>
                <w:lang w:val="en-GB" w:eastAsia="en-GB"/>
              </w:rPr>
              <w:t>10.</w:t>
            </w:r>
            <w:r>
              <w:rPr>
                <w:rFonts w:eastAsia="等线"/>
                <w:sz w:val="20"/>
                <w:szCs w:val="20"/>
                <w:shd w:val="pct10" w:color="auto" w:fill="FFFFFF"/>
                <w:lang w:val="en-GB" w:eastAsia="en-GB"/>
              </w:rPr>
              <w:tab/>
            </w:r>
            <w:r>
              <w:rPr>
                <w:rFonts w:eastAsia="等线"/>
                <w:sz w:val="20"/>
                <w:szCs w:val="20"/>
                <w:shd w:val="pct10" w:color="auto" w:fill="FFFFFF"/>
                <w:lang w:val="en-GB" w:eastAsia="en-GB"/>
              </w:rPr>
              <w:t>During the SDT procedure (i.e. while SDT timer is running), ETWS or CMAS capable Ues monitors PWS notification in any paging occasion at least once every defaultPagingCycle (i.e. same as legacy RRC_CONNECTED).</w:t>
            </w:r>
          </w:p>
          <w:p>
            <w:pPr>
              <w:widowControl w:val="0"/>
              <w:spacing w:after="0"/>
              <w:rPr>
                <w:rFonts w:hint="eastAsia"/>
                <w:iCs/>
                <w:lang w:eastAsia="zh-CN"/>
              </w:rPr>
            </w:pPr>
          </w:p>
        </w:tc>
        <w:tc>
          <w:tcPr>
            <w:tcW w:w="1371" w:type="dxa"/>
            <w:shd w:val="clear" w:color="auto" w:fill="C7DAF1" w:themeFill="text2" w:themeFillTint="32"/>
          </w:tcPr>
          <w:p>
            <w:pPr>
              <w:widowControl w:val="0"/>
              <w:spacing w:after="0"/>
              <w:rPr>
                <w:rFonts w:hint="default"/>
                <w:lang w:val="en-US" w:eastAsia="zh-CN"/>
              </w:rPr>
            </w:pPr>
            <w:r>
              <w:rPr>
                <w:rFonts w:hint="eastAsia"/>
                <w:lang w:val="en-US" w:eastAsia="zh-CN"/>
              </w:rPr>
              <w:t>R1-2204906 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13" w:type="dxa"/>
            <w:shd w:val="clear" w:color="auto" w:fill="C7DAF1" w:themeFill="text2" w:themeFillTint="32"/>
          </w:tcPr>
          <w:p>
            <w:pPr>
              <w:widowControl w:val="0"/>
              <w:spacing w:after="0"/>
              <w:rPr>
                <w:rFonts w:hint="default"/>
                <w:lang w:val="en-US" w:eastAsia="zh-CN"/>
              </w:rPr>
            </w:pPr>
            <w:r>
              <w:rPr>
                <w:rFonts w:hint="eastAsia"/>
                <w:lang w:val="en-US" w:eastAsia="zh-CN"/>
              </w:rPr>
              <w:t>14</w:t>
            </w:r>
          </w:p>
        </w:tc>
        <w:tc>
          <w:tcPr>
            <w:tcW w:w="7563" w:type="dxa"/>
            <w:shd w:val="clear" w:color="auto" w:fill="C7DAF1" w:themeFill="text2" w:themeFillTint="32"/>
          </w:tcPr>
          <w:p>
            <w:pPr>
              <w:widowControl w:val="0"/>
              <w:spacing w:after="0"/>
              <w:rPr>
                <w:rFonts w:hint="eastAsia"/>
                <w:iCs/>
                <w:lang w:eastAsia="zh-CN"/>
              </w:rPr>
            </w:pPr>
            <w:r>
              <w:rPr>
                <w:lang w:eastAsia="zh-CN"/>
              </w:rPr>
              <w:t>During SDT procedure, only common PUCCH resource can be used, which can carry one or two bits. If gNB schedule HARQ-ACK feedback associated with more than two TBs in the same slot, it should be specified which HARQ-ACK to feedback, or such case is not expected.</w:t>
            </w:r>
          </w:p>
        </w:tc>
        <w:tc>
          <w:tcPr>
            <w:tcW w:w="1371" w:type="dxa"/>
            <w:shd w:val="clear" w:color="auto" w:fill="C7DAF1" w:themeFill="text2" w:themeFillTint="32"/>
          </w:tcPr>
          <w:p>
            <w:pPr>
              <w:widowControl w:val="0"/>
              <w:spacing w:after="0"/>
              <w:rPr>
                <w:rFonts w:hint="eastAsia"/>
                <w:lang w:eastAsia="zh-CN"/>
              </w:rPr>
            </w:pPr>
            <w:r>
              <w:rPr>
                <w:rFonts w:hint="eastAsia"/>
                <w:lang w:val="en-US" w:eastAsia="zh-CN"/>
              </w:rPr>
              <w:t>R1-2204906 Huawei</w:t>
            </w:r>
          </w:p>
        </w:tc>
      </w:tr>
    </w:tbl>
    <w:p/>
    <w:p>
      <w:pPr>
        <w:pStyle w:val="131"/>
        <w:spacing w:after="60" w:afterAutospacing="0"/>
        <w:ind w:firstLine="0"/>
        <w:rPr>
          <w:sz w:val="22"/>
          <w:szCs w:val="22"/>
          <w:lang w:val="en-US"/>
        </w:rPr>
      </w:pPr>
      <w:r>
        <w:rPr>
          <w:rFonts w:hint="eastAsia" w:eastAsia="宋体"/>
          <w:sz w:val="22"/>
          <w:szCs w:val="22"/>
          <w:lang w:val="en-US" w:eastAsia="zh-CN"/>
        </w:rPr>
        <w:t xml:space="preserve">To identify the essential issues, please provide your assessment </w:t>
      </w:r>
      <w:r>
        <w:rPr>
          <w:rFonts w:eastAsia="宋体"/>
          <w:sz w:val="22"/>
          <w:szCs w:val="22"/>
          <w:lang w:val="en-US" w:eastAsia="zh-CN"/>
        </w:rPr>
        <w:t>“</w:t>
      </w:r>
      <w:r>
        <w:rPr>
          <w:rFonts w:hint="eastAsia" w:eastAsia="宋体"/>
          <w:sz w:val="22"/>
          <w:szCs w:val="22"/>
          <w:lang w:val="en-US" w:eastAsia="zh-CN"/>
        </w:rPr>
        <w:t>H/N/E</w:t>
      </w:r>
      <w:r>
        <w:rPr>
          <w:rFonts w:eastAsia="宋体"/>
          <w:sz w:val="22"/>
          <w:szCs w:val="22"/>
          <w:lang w:val="en-US" w:eastAsia="zh-CN"/>
        </w:rPr>
        <w:t>”</w:t>
      </w:r>
      <w:r>
        <w:rPr>
          <w:rFonts w:hint="eastAsia" w:eastAsia="宋体"/>
          <w:sz w:val="22"/>
          <w:szCs w:val="22"/>
          <w:lang w:val="en-US" w:eastAsia="zh-CN"/>
        </w:rPr>
        <w:t xml:space="preserve"> on these maintenance issues</w:t>
      </w:r>
      <w:r>
        <w:rPr>
          <w:sz w:val="22"/>
          <w:szCs w:val="22"/>
          <w:lang w:val="en-US"/>
        </w:rPr>
        <w:t xml:space="preserve"> </w:t>
      </w:r>
      <w:r>
        <w:rPr>
          <w:rFonts w:hint="eastAsia" w:eastAsia="宋体"/>
          <w:sz w:val="22"/>
          <w:szCs w:val="22"/>
          <w:lang w:val="en-US" w:eastAsia="zh-CN"/>
        </w:rPr>
        <w:t xml:space="preserve">with </w:t>
      </w:r>
      <w:r>
        <w:rPr>
          <w:sz w:val="22"/>
          <w:szCs w:val="22"/>
          <w:lang w:val="en-US"/>
        </w:rPr>
        <w:t>the following classification:</w:t>
      </w:r>
    </w:p>
    <w:p>
      <w:pPr>
        <w:pStyle w:val="131"/>
        <w:numPr>
          <w:ilvl w:val="0"/>
          <w:numId w:val="10"/>
        </w:numPr>
        <w:spacing w:after="60" w:afterAutospacing="0"/>
        <w:rPr>
          <w:sz w:val="22"/>
          <w:szCs w:val="22"/>
          <w:lang w:val="en-US"/>
        </w:rPr>
      </w:pPr>
      <w:r>
        <w:rPr>
          <w:i/>
          <w:sz w:val="22"/>
          <w:szCs w:val="22"/>
          <w:lang w:val="en-US"/>
        </w:rPr>
        <w:t xml:space="preserve">High priority (H): </w:t>
      </w:r>
      <w:r>
        <w:rPr>
          <w:sz w:val="22"/>
          <w:szCs w:val="22"/>
          <w:lang w:val="en-US"/>
        </w:rPr>
        <w:t>high-priority item (essential, pending issues, broken spec components) and proposed editorial changes that either enhance the clarity of the specs or correct mistakes</w:t>
      </w:r>
    </w:p>
    <w:p>
      <w:pPr>
        <w:pStyle w:val="131"/>
        <w:numPr>
          <w:ilvl w:val="0"/>
          <w:numId w:val="10"/>
        </w:numPr>
        <w:spacing w:after="60" w:afterAutospacing="0"/>
        <w:rPr>
          <w:sz w:val="22"/>
          <w:szCs w:val="22"/>
          <w:lang w:val="en-US"/>
        </w:rPr>
      </w:pPr>
      <w:r>
        <w:rPr>
          <w:i/>
          <w:sz w:val="22"/>
          <w:szCs w:val="22"/>
          <w:lang w:val="en-US"/>
        </w:rPr>
        <w:t>Non-essential (N)</w:t>
      </w:r>
      <w:r>
        <w:rPr>
          <w:sz w:val="22"/>
          <w:szCs w:val="22"/>
          <w:lang w:val="en-US"/>
        </w:rPr>
        <w:t xml:space="preserve">: all other purposes such as spec optimization and low priority issues  </w:t>
      </w:r>
    </w:p>
    <w:p>
      <w:pPr>
        <w:pStyle w:val="131"/>
        <w:numPr>
          <w:ilvl w:val="0"/>
          <w:numId w:val="10"/>
        </w:numPr>
        <w:spacing w:after="60" w:afterAutospacing="0"/>
      </w:pPr>
      <w:r>
        <w:rPr>
          <w:i/>
          <w:sz w:val="22"/>
          <w:szCs w:val="22"/>
          <w:lang w:val="en-US"/>
        </w:rPr>
        <w:t>Editorial (E)</w:t>
      </w:r>
      <w:r>
        <w:rPr>
          <w:sz w:val="22"/>
          <w:szCs w:val="22"/>
          <w:lang w:val="en-US"/>
        </w:rPr>
        <w:t>: editorial issues that will be handled as editorial CRs (to be communicated to the editors/chairs)</w:t>
      </w:r>
    </w:p>
    <w:tbl>
      <w:tblPr>
        <w:tblStyle w:val="33"/>
        <w:tblW w:w="9898"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702"/>
        <w:gridCol w:w="702"/>
        <w:gridCol w:w="702"/>
        <w:gridCol w:w="702"/>
        <w:gridCol w:w="702"/>
        <w:gridCol w:w="702"/>
        <w:gridCol w:w="702"/>
        <w:gridCol w:w="702"/>
        <w:gridCol w:w="702"/>
        <w:gridCol w:w="702"/>
        <w:gridCol w:w="702"/>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rFonts w:hint="eastAsia"/>
                <w:lang w:eastAsia="zh-CN"/>
              </w:rPr>
              <w:t xml:space="preserve">Company </w:t>
            </w:r>
          </w:p>
        </w:tc>
        <w:tc>
          <w:tcPr>
            <w:tcW w:w="702" w:type="dxa"/>
          </w:tcPr>
          <w:p>
            <w:pPr>
              <w:widowControl w:val="0"/>
              <w:rPr>
                <w:lang w:eastAsia="zh-CN"/>
              </w:rPr>
            </w:pPr>
            <w:r>
              <w:rPr>
                <w:rFonts w:hint="eastAsia"/>
                <w:lang w:eastAsia="zh-CN"/>
              </w:rPr>
              <w:t>Issue#1</w:t>
            </w:r>
          </w:p>
        </w:tc>
        <w:tc>
          <w:tcPr>
            <w:tcW w:w="702" w:type="dxa"/>
          </w:tcPr>
          <w:p>
            <w:pPr>
              <w:widowControl w:val="0"/>
              <w:rPr>
                <w:lang w:eastAsia="zh-CN"/>
              </w:rPr>
            </w:pPr>
            <w:r>
              <w:rPr>
                <w:rFonts w:hint="eastAsia"/>
                <w:lang w:eastAsia="zh-CN"/>
              </w:rPr>
              <w:t>Issue#2</w:t>
            </w:r>
          </w:p>
        </w:tc>
        <w:tc>
          <w:tcPr>
            <w:tcW w:w="702" w:type="dxa"/>
          </w:tcPr>
          <w:p>
            <w:pPr>
              <w:widowControl w:val="0"/>
              <w:rPr>
                <w:lang w:eastAsia="zh-CN"/>
              </w:rPr>
            </w:pPr>
            <w:r>
              <w:rPr>
                <w:rFonts w:hint="eastAsia"/>
                <w:lang w:eastAsia="zh-CN"/>
              </w:rPr>
              <w:t>Issue#3</w:t>
            </w:r>
          </w:p>
        </w:tc>
        <w:tc>
          <w:tcPr>
            <w:tcW w:w="702" w:type="dxa"/>
          </w:tcPr>
          <w:p>
            <w:pPr>
              <w:widowControl w:val="0"/>
              <w:rPr>
                <w:lang w:eastAsia="zh-CN"/>
              </w:rPr>
            </w:pPr>
            <w:r>
              <w:rPr>
                <w:rFonts w:hint="eastAsia"/>
                <w:lang w:eastAsia="zh-CN"/>
              </w:rPr>
              <w:t>Issue#4</w:t>
            </w:r>
          </w:p>
        </w:tc>
        <w:tc>
          <w:tcPr>
            <w:tcW w:w="702" w:type="dxa"/>
          </w:tcPr>
          <w:p>
            <w:pPr>
              <w:widowControl w:val="0"/>
              <w:rPr>
                <w:lang w:eastAsia="zh-CN"/>
              </w:rPr>
            </w:pPr>
            <w:r>
              <w:rPr>
                <w:rFonts w:hint="eastAsia"/>
                <w:lang w:eastAsia="zh-CN"/>
              </w:rPr>
              <w:t>Issue#5</w:t>
            </w:r>
          </w:p>
        </w:tc>
        <w:tc>
          <w:tcPr>
            <w:tcW w:w="702" w:type="dxa"/>
          </w:tcPr>
          <w:p>
            <w:pPr>
              <w:widowControl w:val="0"/>
              <w:rPr>
                <w:lang w:eastAsia="zh-CN"/>
              </w:rPr>
            </w:pPr>
            <w:r>
              <w:rPr>
                <w:rFonts w:hint="eastAsia"/>
                <w:lang w:eastAsia="zh-CN"/>
              </w:rPr>
              <w:t>Issue#6</w:t>
            </w:r>
          </w:p>
        </w:tc>
        <w:tc>
          <w:tcPr>
            <w:tcW w:w="702" w:type="dxa"/>
          </w:tcPr>
          <w:p>
            <w:pPr>
              <w:widowControl w:val="0"/>
              <w:rPr>
                <w:lang w:eastAsia="zh-CN"/>
              </w:rPr>
            </w:pPr>
            <w:r>
              <w:rPr>
                <w:rFonts w:hint="eastAsia"/>
                <w:lang w:eastAsia="zh-CN"/>
              </w:rPr>
              <w:t>Issue#7</w:t>
            </w:r>
          </w:p>
        </w:tc>
        <w:tc>
          <w:tcPr>
            <w:tcW w:w="702" w:type="dxa"/>
          </w:tcPr>
          <w:p>
            <w:pPr>
              <w:widowControl w:val="0"/>
              <w:rPr>
                <w:lang w:eastAsia="zh-CN"/>
              </w:rPr>
            </w:pPr>
            <w:r>
              <w:rPr>
                <w:rFonts w:hint="eastAsia"/>
                <w:lang w:eastAsia="zh-CN"/>
              </w:rPr>
              <w:t>Issue#8</w:t>
            </w:r>
          </w:p>
        </w:tc>
        <w:tc>
          <w:tcPr>
            <w:tcW w:w="702" w:type="dxa"/>
          </w:tcPr>
          <w:p>
            <w:pPr>
              <w:widowControl w:val="0"/>
              <w:rPr>
                <w:lang w:eastAsia="zh-CN"/>
              </w:rPr>
            </w:pPr>
            <w:r>
              <w:rPr>
                <w:rFonts w:hint="eastAsia"/>
                <w:lang w:eastAsia="zh-CN"/>
              </w:rPr>
              <w:t>Issue#9</w:t>
            </w:r>
          </w:p>
        </w:tc>
        <w:tc>
          <w:tcPr>
            <w:tcW w:w="702" w:type="dxa"/>
          </w:tcPr>
          <w:p>
            <w:pPr>
              <w:widowControl w:val="0"/>
              <w:rPr>
                <w:lang w:eastAsia="zh-CN"/>
              </w:rPr>
            </w:pPr>
            <w:r>
              <w:rPr>
                <w:rFonts w:hint="eastAsia"/>
                <w:lang w:eastAsia="zh-CN"/>
              </w:rPr>
              <w:t>Issue#10</w:t>
            </w:r>
          </w:p>
        </w:tc>
        <w:tc>
          <w:tcPr>
            <w:tcW w:w="702" w:type="dxa"/>
          </w:tcPr>
          <w:p>
            <w:pPr>
              <w:widowControl w:val="0"/>
              <w:rPr>
                <w:lang w:eastAsia="zh-CN"/>
              </w:rPr>
            </w:pPr>
            <w:r>
              <w:rPr>
                <w:rFonts w:hint="eastAsia"/>
                <w:lang w:eastAsia="zh-CN"/>
              </w:rPr>
              <w:t>Issue#11</w:t>
            </w:r>
          </w:p>
        </w:tc>
        <w:tc>
          <w:tcPr>
            <w:tcW w:w="707" w:type="dxa"/>
          </w:tcPr>
          <w:p>
            <w:pPr>
              <w:widowControl w:val="0"/>
              <w:rPr>
                <w:lang w:eastAsia="zh-CN"/>
              </w:rPr>
            </w:pPr>
            <w:r>
              <w:rPr>
                <w:rFonts w:hint="eastAsia"/>
                <w:lang w:eastAsia="zh-CN"/>
              </w:rPr>
              <w:t>Issue#12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lang w:eastAsia="zh-CN"/>
              </w:rPr>
              <w:t>Qualcomm</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H</w:t>
            </w:r>
          </w:p>
        </w:tc>
        <w:tc>
          <w:tcPr>
            <w:tcW w:w="707" w:type="dxa"/>
          </w:tcPr>
          <w:p>
            <w:pPr>
              <w:widowControl w:val="0"/>
              <w:rPr>
                <w:lang w:eastAsia="zh-CN"/>
              </w:rPr>
            </w:pPr>
            <w:r>
              <w:rPr>
                <w:lang w:eastAsia="zh-CN"/>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lang w:eastAsia="zh-CN"/>
              </w:rPr>
              <w:t>Intel</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7" w:type="dxa"/>
          </w:tcPr>
          <w:p>
            <w:pPr>
              <w:widowControl w:val="0"/>
              <w:rPr>
                <w:lang w:eastAsia="zh-CN"/>
              </w:rPr>
            </w:pPr>
            <w:r>
              <w:rPr>
                <w:lang w:eastAsia="zh-CN"/>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lang w:eastAsia="zh-CN"/>
              </w:rPr>
              <w:t>vivo</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7" w:type="dxa"/>
          </w:tcPr>
          <w:p>
            <w:pPr>
              <w:widowControl w:val="0"/>
              <w:rPr>
                <w:lang w:eastAsia="zh-CN"/>
              </w:rPr>
            </w:pPr>
            <w:r>
              <w:rPr>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rFonts w:hint="eastAsia"/>
                <w:lang w:eastAsia="zh-CN"/>
              </w:rPr>
              <w:t>ZTE</w:t>
            </w:r>
          </w:p>
        </w:tc>
        <w:tc>
          <w:tcPr>
            <w:tcW w:w="702" w:type="dxa"/>
          </w:tcPr>
          <w:p>
            <w:pPr>
              <w:widowControl w:val="0"/>
              <w:rPr>
                <w:lang w:eastAsia="zh-CN"/>
              </w:rPr>
            </w:pPr>
            <w:r>
              <w:rPr>
                <w:rFonts w:hint="eastAsia"/>
                <w:lang w:eastAsia="zh-CN"/>
              </w:rPr>
              <w:t>H</w:t>
            </w:r>
          </w:p>
        </w:tc>
        <w:tc>
          <w:tcPr>
            <w:tcW w:w="702" w:type="dxa"/>
          </w:tcPr>
          <w:p>
            <w:pPr>
              <w:widowControl w:val="0"/>
              <w:rPr>
                <w:lang w:eastAsia="zh-CN"/>
              </w:rPr>
            </w:pPr>
            <w:r>
              <w:rPr>
                <w:rFonts w:hint="eastAsia"/>
                <w:lang w:eastAsia="zh-CN"/>
              </w:rPr>
              <w:t>H</w:t>
            </w:r>
          </w:p>
        </w:tc>
        <w:tc>
          <w:tcPr>
            <w:tcW w:w="702" w:type="dxa"/>
          </w:tcPr>
          <w:p>
            <w:pPr>
              <w:widowControl w:val="0"/>
              <w:rPr>
                <w:lang w:eastAsia="zh-CN"/>
              </w:rPr>
            </w:pPr>
            <w:r>
              <w:rPr>
                <w:rFonts w:hint="eastAsia"/>
                <w:lang w:eastAsia="zh-CN"/>
              </w:rPr>
              <w:t>E</w:t>
            </w:r>
          </w:p>
        </w:tc>
        <w:tc>
          <w:tcPr>
            <w:tcW w:w="702" w:type="dxa"/>
          </w:tcPr>
          <w:p>
            <w:pPr>
              <w:widowControl w:val="0"/>
              <w:rPr>
                <w:lang w:eastAsia="zh-CN"/>
              </w:rPr>
            </w:pPr>
            <w:r>
              <w:rPr>
                <w:rFonts w:hint="eastAsia"/>
                <w:lang w:eastAsia="zh-CN"/>
              </w:rPr>
              <w:t>E</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H</w:t>
            </w:r>
          </w:p>
        </w:tc>
        <w:tc>
          <w:tcPr>
            <w:tcW w:w="707" w:type="dxa"/>
          </w:tcPr>
          <w:p>
            <w:pPr>
              <w:widowControl w:val="0"/>
              <w:rPr>
                <w:lang w:eastAsia="zh-CN"/>
              </w:rPr>
            </w:pPr>
            <w:r>
              <w:rPr>
                <w:rFonts w:hint="eastAsia"/>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lang w:eastAsia="zh-CN"/>
              </w:rPr>
              <w:t>New H3C</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lang w:eastAsia="zh-CN"/>
              </w:rPr>
              <w:t>H</w:t>
            </w:r>
          </w:p>
        </w:tc>
        <w:tc>
          <w:tcPr>
            <w:tcW w:w="707" w:type="dxa"/>
          </w:tcPr>
          <w:p>
            <w:pPr>
              <w:widowControl w:val="0"/>
              <w:rPr>
                <w:lang w:eastAsia="zh-CN"/>
              </w:rPr>
            </w:pPr>
            <w:r>
              <w:rPr>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lang w:eastAsia="zh-CN"/>
              </w:rPr>
              <w:t>Samsung</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N(for stop discussion)</w:t>
            </w:r>
          </w:p>
        </w:tc>
        <w:tc>
          <w:tcPr>
            <w:tcW w:w="702" w:type="dxa"/>
          </w:tcPr>
          <w:p>
            <w:pPr>
              <w:widowControl w:val="0"/>
              <w:rPr>
                <w:lang w:eastAsia="zh-CN"/>
              </w:rPr>
            </w:pPr>
            <w:r>
              <w:rPr>
                <w:lang w:eastAsia="zh-CN"/>
              </w:rPr>
              <w:t>H</w:t>
            </w:r>
          </w:p>
        </w:tc>
        <w:tc>
          <w:tcPr>
            <w:tcW w:w="707" w:type="dxa"/>
          </w:tcPr>
          <w:p>
            <w:pPr>
              <w:widowControl w:val="0"/>
              <w:rPr>
                <w:lang w:eastAsia="zh-CN"/>
              </w:rPr>
            </w:pPr>
            <w:r>
              <w:rPr>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lang w:eastAsia="zh-CN"/>
              </w:rPr>
              <w:t>Spreadtrum</w:t>
            </w:r>
          </w:p>
        </w:tc>
        <w:tc>
          <w:tcPr>
            <w:tcW w:w="702" w:type="dxa"/>
          </w:tcPr>
          <w:p>
            <w:pPr>
              <w:widowControl w:val="0"/>
              <w:rPr>
                <w:lang w:eastAsia="zh-CN"/>
              </w:rPr>
            </w:pPr>
            <w:r>
              <w:rPr>
                <w:rFonts w:hint="eastAsia"/>
                <w:lang w:eastAsia="zh-CN"/>
              </w:rPr>
              <w:t>H</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rFonts w:hint="eastAsia"/>
                <w:lang w:eastAsia="zh-CN"/>
              </w:rPr>
              <w:t>E</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7" w:type="dxa"/>
          </w:tcPr>
          <w:p>
            <w:pPr>
              <w:widowControl w:val="0"/>
              <w:rPr>
                <w:lang w:eastAsia="zh-CN"/>
              </w:rPr>
            </w:pPr>
            <w:r>
              <w:rPr>
                <w:rFonts w:hint="eastAsia"/>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lang w:eastAsia="zh-CN"/>
              </w:rPr>
              <w:t>Ericsson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7" w:type="dxa"/>
          </w:tcPr>
          <w:p>
            <w:pPr>
              <w:widowControl w:val="0"/>
              <w:rPr>
                <w:lang w:eastAsia="zh-CN"/>
              </w:rPr>
            </w:pPr>
            <w:r>
              <w:rPr>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rFonts w:hint="eastAsia"/>
                <w:lang w:eastAsia="zh-CN"/>
              </w:rPr>
              <w:t>Apple</w:t>
            </w:r>
          </w:p>
        </w:tc>
        <w:tc>
          <w:tcPr>
            <w:tcW w:w="702" w:type="dxa"/>
          </w:tcPr>
          <w:p>
            <w:pPr>
              <w:widowControl w:val="0"/>
              <w:rPr>
                <w:lang w:eastAsia="zh-CN"/>
              </w:rPr>
            </w:pPr>
            <w:r>
              <w:rPr>
                <w:rFonts w:hint="eastAsia"/>
                <w:lang w:eastAsia="zh-CN"/>
              </w:rPr>
              <w:t>H</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E</w:t>
            </w:r>
          </w:p>
        </w:tc>
        <w:tc>
          <w:tcPr>
            <w:tcW w:w="702" w:type="dxa"/>
          </w:tcPr>
          <w:p>
            <w:pPr>
              <w:widowControl w:val="0"/>
              <w:rPr>
                <w:lang w:eastAsia="zh-CN"/>
              </w:rPr>
            </w:pPr>
            <w:r>
              <w:rPr>
                <w:lang w:eastAsia="zh-CN"/>
              </w:rPr>
              <w:t>E</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lang w:eastAsia="zh-CN"/>
              </w:rPr>
              <w:t>H</w:t>
            </w:r>
          </w:p>
        </w:tc>
        <w:tc>
          <w:tcPr>
            <w:tcW w:w="702" w:type="dxa"/>
          </w:tcPr>
          <w:p>
            <w:pPr>
              <w:widowControl w:val="0"/>
              <w:rPr>
                <w:lang w:eastAsia="zh-CN"/>
              </w:rPr>
            </w:pPr>
            <w:r>
              <w:rPr>
                <w:lang w:eastAsia="zh-CN"/>
              </w:rPr>
              <w:t>N</w:t>
            </w:r>
          </w:p>
        </w:tc>
        <w:tc>
          <w:tcPr>
            <w:tcW w:w="702" w:type="dxa"/>
          </w:tcPr>
          <w:p>
            <w:pPr>
              <w:widowControl w:val="0"/>
              <w:rPr>
                <w:lang w:eastAsia="zh-CN"/>
              </w:rPr>
            </w:pPr>
            <w:r>
              <w:rPr>
                <w:rFonts w:hint="eastAsia"/>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2" w:type="dxa"/>
          </w:tcPr>
          <w:p>
            <w:pPr>
              <w:widowControl w:val="0"/>
              <w:rPr>
                <w:lang w:eastAsia="zh-CN"/>
              </w:rPr>
            </w:pPr>
            <w:r>
              <w:rPr>
                <w:lang w:eastAsia="zh-CN"/>
              </w:rPr>
              <w:t>N</w:t>
            </w:r>
          </w:p>
        </w:tc>
        <w:tc>
          <w:tcPr>
            <w:tcW w:w="707" w:type="dxa"/>
          </w:tcPr>
          <w:p>
            <w:pPr>
              <w:widowControl w:val="0"/>
              <w:rPr>
                <w:lang w:eastAsia="zh-CN"/>
              </w:rPr>
            </w:pPr>
            <w:r>
              <w:rPr>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9" w:type="dxa"/>
          </w:tcPr>
          <w:p>
            <w:pPr>
              <w:widowControl w:val="0"/>
              <w:rPr>
                <w:lang w:eastAsia="zh-CN"/>
              </w:rPr>
            </w:pPr>
            <w:r>
              <w:rPr>
                <w:rFonts w:hint="eastAsia"/>
                <w:lang w:eastAsia="zh-CN"/>
              </w:rPr>
              <w:t>Huawei</w:t>
            </w:r>
            <w:r>
              <w:rPr>
                <w:lang w:eastAsia="zh-CN"/>
              </w:rPr>
              <w:t>, HiSi</w:t>
            </w:r>
          </w:p>
        </w:tc>
        <w:tc>
          <w:tcPr>
            <w:tcW w:w="702" w:type="dxa"/>
          </w:tcPr>
          <w:p>
            <w:pPr>
              <w:widowControl w:val="0"/>
              <w:rPr>
                <w:lang w:eastAsia="zh-CN"/>
              </w:rPr>
            </w:pPr>
            <w:r>
              <w:t>N</w:t>
            </w:r>
          </w:p>
        </w:tc>
        <w:tc>
          <w:tcPr>
            <w:tcW w:w="702" w:type="dxa"/>
          </w:tcPr>
          <w:p>
            <w:pPr>
              <w:widowControl w:val="0"/>
              <w:rPr>
                <w:lang w:eastAsia="zh-CN"/>
              </w:rPr>
            </w:pPr>
            <w:r>
              <w:t>H</w:t>
            </w:r>
          </w:p>
        </w:tc>
        <w:tc>
          <w:tcPr>
            <w:tcW w:w="702" w:type="dxa"/>
          </w:tcPr>
          <w:p>
            <w:pPr>
              <w:widowControl w:val="0"/>
              <w:rPr>
                <w:lang w:eastAsia="zh-CN"/>
              </w:rPr>
            </w:pPr>
            <w:r>
              <w:t>E</w:t>
            </w:r>
          </w:p>
        </w:tc>
        <w:tc>
          <w:tcPr>
            <w:tcW w:w="702" w:type="dxa"/>
          </w:tcPr>
          <w:p>
            <w:pPr>
              <w:widowControl w:val="0"/>
              <w:rPr>
                <w:lang w:eastAsia="zh-CN"/>
              </w:rPr>
            </w:pPr>
            <w:r>
              <w:t>E</w:t>
            </w:r>
          </w:p>
        </w:tc>
        <w:tc>
          <w:tcPr>
            <w:tcW w:w="702" w:type="dxa"/>
          </w:tcPr>
          <w:p>
            <w:pPr>
              <w:widowControl w:val="0"/>
              <w:rPr>
                <w:lang w:eastAsia="zh-CN"/>
              </w:rPr>
            </w:pPr>
            <w:r>
              <w:t>N</w:t>
            </w:r>
          </w:p>
        </w:tc>
        <w:tc>
          <w:tcPr>
            <w:tcW w:w="702" w:type="dxa"/>
          </w:tcPr>
          <w:p>
            <w:pPr>
              <w:widowControl w:val="0"/>
              <w:rPr>
                <w:lang w:eastAsia="zh-CN"/>
              </w:rPr>
            </w:pPr>
            <w:r>
              <w:t>N</w:t>
            </w:r>
          </w:p>
        </w:tc>
        <w:tc>
          <w:tcPr>
            <w:tcW w:w="702" w:type="dxa"/>
          </w:tcPr>
          <w:p>
            <w:pPr>
              <w:widowControl w:val="0"/>
              <w:rPr>
                <w:lang w:eastAsia="zh-CN"/>
              </w:rPr>
            </w:pPr>
            <w:r>
              <w:t>N</w:t>
            </w:r>
          </w:p>
        </w:tc>
        <w:tc>
          <w:tcPr>
            <w:tcW w:w="702" w:type="dxa"/>
          </w:tcPr>
          <w:p>
            <w:pPr>
              <w:widowControl w:val="0"/>
              <w:rPr>
                <w:lang w:eastAsia="zh-CN"/>
              </w:rPr>
            </w:pPr>
            <w:r>
              <w:t>N</w:t>
            </w:r>
          </w:p>
        </w:tc>
        <w:tc>
          <w:tcPr>
            <w:tcW w:w="702" w:type="dxa"/>
          </w:tcPr>
          <w:p>
            <w:pPr>
              <w:widowControl w:val="0"/>
              <w:rPr>
                <w:lang w:eastAsia="zh-CN"/>
              </w:rPr>
            </w:pPr>
            <w:r>
              <w:t>N</w:t>
            </w:r>
          </w:p>
        </w:tc>
        <w:tc>
          <w:tcPr>
            <w:tcW w:w="702" w:type="dxa"/>
          </w:tcPr>
          <w:p>
            <w:pPr>
              <w:widowControl w:val="0"/>
              <w:rPr>
                <w:lang w:eastAsia="zh-CN"/>
              </w:rPr>
            </w:pPr>
            <w:r>
              <w:t>N</w:t>
            </w:r>
          </w:p>
        </w:tc>
        <w:tc>
          <w:tcPr>
            <w:tcW w:w="702" w:type="dxa"/>
          </w:tcPr>
          <w:p>
            <w:pPr>
              <w:widowControl w:val="0"/>
              <w:rPr>
                <w:lang w:eastAsia="zh-CN"/>
              </w:rPr>
            </w:pPr>
            <w:r>
              <w:rPr>
                <w:rFonts w:hint="eastAsia"/>
                <w:lang w:eastAsia="zh-CN"/>
              </w:rPr>
              <w:t>H</w:t>
            </w:r>
          </w:p>
        </w:tc>
        <w:tc>
          <w:tcPr>
            <w:tcW w:w="707" w:type="dxa"/>
          </w:tcPr>
          <w:p>
            <w:pPr>
              <w:widowControl w:val="0"/>
              <w:rPr>
                <w:lang w:eastAsia="zh-CN"/>
              </w:rPr>
            </w:pPr>
            <w:r>
              <w:t>H</w:t>
            </w:r>
          </w:p>
        </w:tc>
      </w:tr>
    </w:tbl>
    <w:p>
      <w:pPr>
        <w:pStyle w:val="58"/>
        <w:spacing w:after="0"/>
        <w:ind w:left="0"/>
        <w:rPr>
          <w:lang w:eastAsia="zh-CN"/>
        </w:rPr>
      </w:pPr>
    </w:p>
    <w:p/>
    <w:p>
      <w:r>
        <w:t>Any other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For Issue#2, we are open for discussions.  </w:t>
            </w:r>
          </w:p>
          <w:p>
            <w:pPr>
              <w:widowControl w:val="0"/>
              <w:rPr>
                <w:lang w:eastAsia="zh-CN"/>
              </w:rPr>
            </w:pPr>
            <w:r>
              <w:rPr>
                <w:lang w:eastAsia="zh-CN"/>
              </w:rPr>
              <w:t xml:space="preserve">For Issue#4, suggest to wait for progress from RAN2 as RAN2 will discuss this issue in this meeting. </w:t>
            </w:r>
          </w:p>
          <w:p>
            <w:pPr>
              <w:widowControl w:val="0"/>
              <w:rPr>
                <w:lang w:eastAsia="zh-CN"/>
              </w:rPr>
            </w:pPr>
            <w:r>
              <w:rPr>
                <w:lang w:eastAsia="zh-CN"/>
              </w:rPr>
              <w:t xml:space="preserve">For Issue#5, it was already discussed before and there was no consensus to support UE specific TDRA table. No need to repeat the same discussion in this meeting. </w:t>
            </w:r>
          </w:p>
          <w:p>
            <w:pPr>
              <w:widowControl w:val="0"/>
              <w:rPr>
                <w:lang w:eastAsia="zh-CN"/>
              </w:rPr>
            </w:pPr>
            <w:r>
              <w:rPr>
                <w:lang w:eastAsia="zh-CN"/>
              </w:rPr>
              <w:t xml:space="preserve">For Issue#7, it was already agreed in the last meeting that “The validation rule defined for CG-SDT in FD-FDD mode can be reused for RedCap UE performing CG-SDT in HD-FDD mode.”. It is not clear to us whether further discussion is needed. </w:t>
            </w:r>
          </w:p>
          <w:p>
            <w:pPr>
              <w:widowControl w:val="0"/>
              <w:rPr>
                <w:lang w:eastAsia="zh-CN"/>
              </w:rPr>
            </w:pPr>
            <w:r>
              <w:rPr>
                <w:lang w:eastAsia="zh-CN"/>
              </w:rPr>
              <w:t xml:space="preserve">For Issue#8, our understanding is that by default, </w:t>
            </w:r>
            <w:r>
              <w:rPr>
                <w:rFonts w:hint="eastAsia"/>
                <w:lang w:eastAsia="zh-CN"/>
              </w:rPr>
              <w:t xml:space="preserve">RA-SDT and CG-SDT resource </w:t>
            </w:r>
            <w:r>
              <w:rPr>
                <w:lang w:eastAsia="zh-CN"/>
              </w:rPr>
              <w:t xml:space="preserve">should be configured </w:t>
            </w:r>
            <w:r>
              <w:rPr>
                <w:rFonts w:hint="eastAsia"/>
                <w:lang w:eastAsia="zh-CN"/>
              </w:rPr>
              <w:t>on separate initial BWP</w:t>
            </w:r>
            <w:r>
              <w:rPr>
                <w:lang w:eastAsia="zh-CN"/>
              </w:rPr>
              <w:t>. It is not clear to us whether discussion is needed.</w:t>
            </w:r>
          </w:p>
          <w:p>
            <w:pPr>
              <w:widowControl w:val="0"/>
              <w:rPr>
                <w:lang w:eastAsia="zh-CN"/>
              </w:rPr>
            </w:pPr>
            <w:r>
              <w:rPr>
                <w:lang w:eastAsia="zh-CN"/>
              </w:rPr>
              <w:t xml:space="preserve">For Issue#9, it seems already covered in current spec “The UE may assume that the DM-RS antenna port associated with the PDCCH receptions, </w:t>
            </w:r>
            <w:r>
              <w:rPr>
                <w:highlight w:val="yellow"/>
                <w:lang w:eastAsia="zh-CN"/>
              </w:rPr>
              <w:t>the DM-RS antenna port associated with the PDSCH receptions</w:t>
            </w:r>
            <w:r>
              <w:rPr>
                <w:lang w:eastAsia="zh-CN"/>
              </w:rPr>
              <w:t>, and the SS/PBCH block associated with the PUSCH transmission are quasi co-located with respect to average gain and quasi co-location 'typeA' or 'typeD' properties”. It is not clear to us whether further discussion is needed.</w:t>
            </w:r>
          </w:p>
          <w:p>
            <w:pPr>
              <w:widowControl w:val="0"/>
              <w:rPr>
                <w:lang w:eastAsia="zh-CN"/>
              </w:rPr>
            </w:pPr>
            <w:r>
              <w:rPr>
                <w:lang w:eastAsia="zh-CN"/>
              </w:rPr>
              <w:t xml:space="preserve">For Issue #10, our view is that this is essential, but it is better to wait RAN2 progress on this based on conclusion/LS made in the last meeting. </w:t>
            </w:r>
          </w:p>
          <w:p>
            <w:pPr>
              <w:widowControl w:val="0"/>
              <w:rPr>
                <w:lang w:eastAsia="zh-CN"/>
              </w:rPr>
            </w:pPr>
            <w:r>
              <w:rPr>
                <w:lang w:eastAsia="zh-CN"/>
              </w:rPr>
              <w:t>For Issue#11, our view is that same QCL assumption should be considered for SDT and monitoring Type-1 CSS. In other words, the issue is not essential for SDT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vivo</w:t>
            </w:r>
          </w:p>
        </w:tc>
        <w:tc>
          <w:tcPr>
            <w:tcW w:w="7611" w:type="dxa"/>
          </w:tcPr>
          <w:p>
            <w:pPr>
              <w:widowControl w:val="0"/>
              <w:rPr>
                <w:lang w:eastAsia="zh-CN"/>
              </w:rPr>
            </w:pPr>
            <w:r>
              <w:rPr>
                <w:lang w:eastAsia="zh-CN"/>
              </w:rPr>
              <w:t>For issue 2, we also think this is essential to determine the SSBs applied for TA validation and mapping to CG PUSCH.</w:t>
            </w:r>
          </w:p>
          <w:p>
            <w:pPr>
              <w:widowControl w:val="0"/>
              <w:rPr>
                <w:lang w:eastAsia="zh-CN"/>
              </w:rPr>
            </w:pPr>
            <w:r>
              <w:rPr>
                <w:lang w:eastAsia="zh-CN"/>
              </w:rPr>
              <w:t>For issue 4, according to RAN1 agreement and the RRC parameter list sent to RAN2, this one seems necessary.</w:t>
            </w:r>
          </w:p>
          <w:p>
            <w:pPr>
              <w:widowControl w:val="0"/>
              <w:rPr>
                <w:lang w:eastAsia="zh-CN"/>
              </w:rPr>
            </w:pPr>
            <w:r>
              <w:rPr>
                <w:lang w:eastAsia="zh-CN"/>
              </w:rPr>
              <w:t>For issue 5, as there’s no conclusion to preclude the UE specific TDRA table added in RRC signaling in RAN2. It is necessary to for RAN1 to conclude which TDRA table to use given this is RRC related.</w:t>
            </w:r>
          </w:p>
          <w:p>
            <w:pPr>
              <w:widowControl w:val="0"/>
              <w:rPr>
                <w:lang w:eastAsia="zh-CN"/>
              </w:rPr>
            </w:pPr>
            <w:r>
              <w:rPr>
                <w:lang w:eastAsia="zh-CN"/>
              </w:rPr>
              <w:t>For issue 7, same view as Intel that rules used for full duplex mode would be used in this case according to the agreement we’ve made.</w:t>
            </w:r>
          </w:p>
          <w:p>
            <w:pPr>
              <w:widowControl w:val="0"/>
              <w:rPr>
                <w:lang w:eastAsia="zh-CN"/>
              </w:rPr>
            </w:pPr>
            <w:r>
              <w:rPr>
                <w:lang w:eastAsia="zh-CN"/>
              </w:rPr>
              <w:t>Fir issue 8, in our view, SDT resource configuration in separate initial BWP (for redcap UE) is necessary if we would like to support SDT for RedCap UEs in separate initial BWP. One agreement might be needed from SDT topic so that RedCap team can discuss the detailed signaling which would be similar to SDT resource configuration in initial BWP (for normal UEs).</w:t>
            </w:r>
          </w:p>
          <w:p>
            <w:pPr>
              <w:widowControl w:val="0"/>
              <w:rPr>
                <w:lang w:eastAsia="zh-CN"/>
              </w:rPr>
            </w:pPr>
            <w:r>
              <w:rPr>
                <w:lang w:eastAsia="zh-CN"/>
              </w:rPr>
              <w:t>For issue 10, repetition is supported by default in our view as it’s supported since Rel-15/16 for CG Type 1 PUSCH transmissions. Whether it necessary to preclude such feature can be up to RAN2 discussions. There’s no need to repeat discussions in RAN1.</w:t>
            </w:r>
          </w:p>
          <w:p>
            <w:pPr>
              <w:widowControl w:val="0"/>
              <w:rPr>
                <w:lang w:eastAsia="zh-CN"/>
              </w:rPr>
            </w:pPr>
            <w:r>
              <w:rPr>
                <w:rFonts w:hint="eastAsia"/>
                <w:lang w:eastAsia="zh-CN"/>
              </w:rPr>
              <w:t>For</w:t>
            </w:r>
            <w:r>
              <w:rPr>
                <w:lang w:eastAsia="zh-CN"/>
              </w:rPr>
              <w:t xml:space="preserve"> </w:t>
            </w:r>
            <w:r>
              <w:rPr>
                <w:rFonts w:hint="eastAsia"/>
                <w:lang w:eastAsia="zh-CN"/>
              </w:rPr>
              <w:t>issue</w:t>
            </w:r>
            <w:r>
              <w:rPr>
                <w:lang w:eastAsia="zh-CN"/>
              </w:rPr>
              <w:t xml:space="preserve"> 11, it can be up to network to schedule the PDCCH to avoid the overlapping.</w:t>
            </w:r>
          </w:p>
          <w:p>
            <w:pPr>
              <w:widowControl w:val="0"/>
              <w:rPr>
                <w:lang w:eastAsia="zh-CN"/>
              </w:rPr>
            </w:pPr>
            <w:r>
              <w:rPr>
                <w:lang w:eastAsia="zh-CN"/>
              </w:rPr>
              <w:t>For issue 12, this is related to separate initial BWP discussion in RedCap topic. In section 17 of 38.213 V17.1.0, following text already describes which PUCCH resource to use when separate initial UL BWP is provided. No spec. change is necessary in our view.</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lang w:eastAsia="zh-CN"/>
                    </w:rPr>
                  </w:pPr>
                  <w:r>
                    <w:rPr>
                      <w:lang w:eastAsia="zh-CN"/>
                    </w:rPr>
                    <w:t>If a UE is provided initialUplinkBWP in UplinkConfigCommonRedCapSIB and does not have dedicated PUCCH resource configuration, the UE transmits PUCCH with HARQ-ACK information as described in clause 9.2.1 using a PUCCH resource set provided by pucch-ResourceCommonRedCap, except that frequency hopping for the PUCCH transmission is disabled if disable-FH-PUCCH is provided in PUCCH-ConfigCommonRedCap.</w:t>
                  </w:r>
                </w:p>
              </w:tc>
            </w:tr>
          </w:tbl>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w:t>
            </w:r>
          </w:p>
        </w:tc>
        <w:tc>
          <w:tcPr>
            <w:tcW w:w="7611" w:type="dxa"/>
          </w:tcPr>
          <w:p>
            <w:pPr>
              <w:widowControl w:val="0"/>
              <w:rPr>
                <w:lang w:eastAsia="zh-CN"/>
              </w:rPr>
            </w:pPr>
            <w:r>
              <w:rPr>
                <w:rFonts w:hint="eastAsia"/>
                <w:lang w:eastAsia="zh-CN"/>
              </w:rPr>
              <w:t>For Issue 1, it</w:t>
            </w:r>
            <w:r>
              <w:rPr>
                <w:lang w:eastAsia="zh-CN"/>
              </w:rPr>
              <w:t>’</w:t>
            </w:r>
            <w:r>
              <w:rPr>
                <w:rFonts w:hint="eastAsia"/>
                <w:lang w:eastAsia="zh-CN"/>
              </w:rPr>
              <w:t>s essential, even if CG period less than 5ms is not supported, spec change is needed because the table has mentioned 5ms CG period.</w:t>
            </w:r>
          </w:p>
          <w:p>
            <w:pPr>
              <w:widowControl w:val="0"/>
              <w:rPr>
                <w:lang w:eastAsia="zh-CN"/>
              </w:rPr>
            </w:pPr>
            <w:r>
              <w:rPr>
                <w:rFonts w:hint="eastAsia"/>
                <w:lang w:eastAsia="zh-CN"/>
              </w:rPr>
              <w:t>For Issue 2, without clarification, it</w:t>
            </w:r>
            <w:r>
              <w:rPr>
                <w:lang w:eastAsia="zh-CN"/>
              </w:rPr>
              <w:t>’</w:t>
            </w:r>
            <w:r>
              <w:rPr>
                <w:rFonts w:hint="eastAsia"/>
                <w:lang w:eastAsia="zh-CN"/>
              </w:rPr>
              <w:t>s unclear to UE which SSBs to be used for mapping and TA validation.</w:t>
            </w:r>
          </w:p>
          <w:p>
            <w:pPr>
              <w:widowControl w:val="0"/>
              <w:rPr>
                <w:lang w:eastAsia="zh-CN"/>
              </w:rPr>
            </w:pPr>
            <w:r>
              <w:rPr>
                <w:rFonts w:hint="eastAsia"/>
                <w:lang w:eastAsia="zh-CN"/>
              </w:rPr>
              <w:t>For Issue 3, it</w:t>
            </w:r>
            <w:r>
              <w:rPr>
                <w:lang w:eastAsia="zh-CN"/>
              </w:rPr>
              <w:t>’</w:t>
            </w:r>
            <w:r>
              <w:rPr>
                <w:rFonts w:hint="eastAsia"/>
                <w:lang w:eastAsia="zh-CN"/>
              </w:rPr>
              <w:t>s editorial.</w:t>
            </w:r>
          </w:p>
          <w:p>
            <w:pPr>
              <w:widowControl w:val="0"/>
              <w:rPr>
                <w:lang w:eastAsia="zh-CN"/>
              </w:rPr>
            </w:pPr>
            <w:r>
              <w:rPr>
                <w:rFonts w:hint="eastAsia"/>
                <w:lang w:eastAsia="zh-CN"/>
              </w:rPr>
              <w:t>For Issue 4, RAN2 has already determined not to introduce SDT specific USS set, it</w:t>
            </w:r>
            <w:r>
              <w:rPr>
                <w:lang w:eastAsia="zh-CN"/>
              </w:rPr>
              <w:t>’</w:t>
            </w:r>
            <w:r>
              <w:rPr>
                <w:rFonts w:hint="eastAsia"/>
                <w:lang w:eastAsia="zh-CN"/>
              </w:rPr>
              <w:t>s similar as USS set for other uses, so in RAN1 spec, it</w:t>
            </w:r>
            <w:r>
              <w:rPr>
                <w:lang w:eastAsia="zh-CN"/>
              </w:rPr>
              <w:t>’</w:t>
            </w:r>
            <w:r>
              <w:rPr>
                <w:rFonts w:hint="eastAsia"/>
                <w:lang w:eastAsia="zh-CN"/>
              </w:rPr>
              <w:t>s necessary to align the understanding of this parameter.</w:t>
            </w:r>
          </w:p>
          <w:p>
            <w:pPr>
              <w:widowControl w:val="0"/>
              <w:rPr>
                <w:lang w:eastAsia="zh-CN"/>
              </w:rPr>
            </w:pPr>
            <w:r>
              <w:rPr>
                <w:rFonts w:hint="eastAsia"/>
                <w:lang w:eastAsia="zh-CN"/>
              </w:rPr>
              <w:t>For Issue 5, RAN2 has already agreed to include pucch-config in RRC release message which comprises UE specific TDRA table, there is no need to specifically discuss UE specific TDRA table in RAN1.</w:t>
            </w:r>
          </w:p>
          <w:p>
            <w:pPr>
              <w:widowControl w:val="0"/>
              <w:rPr>
                <w:lang w:eastAsia="zh-CN"/>
              </w:rPr>
            </w:pPr>
            <w:r>
              <w:rPr>
                <w:rFonts w:hint="eastAsia"/>
                <w:lang w:eastAsia="zh-CN"/>
              </w:rPr>
              <w:t>For Issue 6, open to discuss, but considering that this issue has been discussed for several meetings, we see little possibility to converge.</w:t>
            </w:r>
          </w:p>
          <w:p>
            <w:pPr>
              <w:widowControl w:val="0"/>
              <w:rPr>
                <w:lang w:eastAsia="zh-CN"/>
              </w:rPr>
            </w:pPr>
            <w:r>
              <w:rPr>
                <w:rFonts w:hint="eastAsia"/>
                <w:lang w:eastAsia="zh-CN"/>
              </w:rPr>
              <w:t>For Issue 7, open to discuss though it seems not essential.</w:t>
            </w:r>
          </w:p>
          <w:p>
            <w:pPr>
              <w:widowControl w:val="0"/>
              <w:rPr>
                <w:lang w:eastAsia="zh-CN"/>
              </w:rPr>
            </w:pPr>
            <w:r>
              <w:rPr>
                <w:rFonts w:hint="eastAsia"/>
                <w:lang w:eastAsia="zh-CN"/>
              </w:rPr>
              <w:t>For Issue 8, we share same understanding with Intel, if separate initial BWP is configured, the RA-SDT and CG-SDT resources can only be configured on separate initial BWP, there is no other choice.</w:t>
            </w:r>
          </w:p>
          <w:p>
            <w:pPr>
              <w:widowControl w:val="0"/>
              <w:rPr>
                <w:lang w:eastAsia="zh-CN"/>
              </w:rPr>
            </w:pPr>
            <w:r>
              <w:rPr>
                <w:rFonts w:hint="eastAsia"/>
                <w:lang w:eastAsia="zh-CN"/>
              </w:rPr>
              <w:t>For Issue 9, as mentioned by Intel, it</w:t>
            </w:r>
            <w:r>
              <w:rPr>
                <w:lang w:eastAsia="zh-CN"/>
              </w:rPr>
              <w:t>’</w:t>
            </w:r>
            <w:r>
              <w:rPr>
                <w:rFonts w:hint="eastAsia"/>
                <w:lang w:eastAsia="zh-CN"/>
              </w:rPr>
              <w:t>s already covered by current spec.</w:t>
            </w:r>
          </w:p>
          <w:p>
            <w:pPr>
              <w:widowControl w:val="0"/>
              <w:rPr>
                <w:lang w:eastAsia="zh-CN"/>
              </w:rPr>
            </w:pPr>
            <w:r>
              <w:rPr>
                <w:rFonts w:hint="eastAsia"/>
                <w:lang w:eastAsia="zh-CN"/>
              </w:rPr>
              <w:t>For Issue 10, we</w:t>
            </w:r>
            <w:r>
              <w:rPr>
                <w:lang w:eastAsia="zh-CN"/>
              </w:rPr>
              <w:t>’</w:t>
            </w:r>
            <w:r>
              <w:rPr>
                <w:rFonts w:hint="eastAsia"/>
                <w:lang w:eastAsia="zh-CN"/>
              </w:rPr>
              <w:t>d better to wait for RAN2 reply before we discuss it.</w:t>
            </w:r>
          </w:p>
          <w:p>
            <w:pPr>
              <w:widowControl w:val="0"/>
              <w:rPr>
                <w:lang w:eastAsia="zh-CN"/>
              </w:rPr>
            </w:pPr>
            <w:r>
              <w:rPr>
                <w:rFonts w:hint="eastAsia"/>
                <w:lang w:eastAsia="zh-CN"/>
              </w:rPr>
              <w:t>For Issue 11, OK to discuss.</w:t>
            </w:r>
          </w:p>
          <w:p>
            <w:pPr>
              <w:widowControl w:val="0"/>
              <w:rPr>
                <w:lang w:eastAsia="zh-CN"/>
              </w:rPr>
            </w:pPr>
            <w:r>
              <w:rPr>
                <w:rFonts w:hint="eastAsia"/>
                <w:lang w:eastAsia="zh-CN"/>
              </w:rPr>
              <w:t xml:space="preserve">For Issue 12, if separate initial BWP is configured, PUCCH and previous CG PUSCH can only be transmitted in separate initial BWP, there is no ambiguity without highlighting </w:t>
            </w:r>
            <w:r>
              <w:rPr>
                <w:lang w:eastAsia="zh-CN"/>
              </w:rPr>
              <w:t>“</w:t>
            </w:r>
            <w:r>
              <w:rPr>
                <w:rFonts w:hint="eastAsia"/>
                <w:lang w:eastAsia="zh-CN"/>
              </w:rPr>
              <w:t>in a same initial UL BWP</w:t>
            </w:r>
            <w:r>
              <w:rPr>
                <w:lang w:eastAsia="zh-CN"/>
              </w:rP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New H3C</w:t>
            </w:r>
          </w:p>
        </w:tc>
        <w:tc>
          <w:tcPr>
            <w:tcW w:w="7611" w:type="dxa"/>
          </w:tcPr>
          <w:p>
            <w:pPr>
              <w:widowControl w:val="0"/>
              <w:rPr>
                <w:lang w:eastAsia="zh-CN"/>
              </w:rPr>
            </w:pPr>
            <w:r>
              <w:rPr>
                <w:lang w:eastAsia="zh-CN"/>
              </w:rPr>
              <w:t xml:space="preserve">For issue 1 and issue 2, </w:t>
            </w:r>
            <w:r>
              <w:rPr>
                <w:rFonts w:hint="eastAsia"/>
                <w:lang w:eastAsia="zh-CN"/>
              </w:rPr>
              <w:t>OK to discuss</w:t>
            </w:r>
            <w:r>
              <w:rPr>
                <w:lang w:eastAsia="zh-CN"/>
              </w:rPr>
              <w:t>.</w:t>
            </w:r>
          </w:p>
          <w:p>
            <w:pPr>
              <w:widowControl w:val="0"/>
              <w:rPr>
                <w:lang w:eastAsia="zh-CN"/>
              </w:rPr>
            </w:pPr>
            <w:r>
              <w:rPr>
                <w:rFonts w:hint="eastAsia"/>
                <w:lang w:eastAsia="zh-CN"/>
              </w:rPr>
              <w:t>For Issue 6, open to discuss, but I</w:t>
            </w:r>
            <w:r>
              <w:rPr>
                <w:lang w:eastAsia="zh-CN"/>
              </w:rPr>
              <w:t xml:space="preserve"> </w:t>
            </w:r>
            <w:r>
              <w:rPr>
                <w:rFonts w:hint="eastAsia"/>
                <w:lang w:eastAsia="zh-CN"/>
              </w:rPr>
              <w:t>wonder</w:t>
            </w:r>
            <w:r>
              <w:rPr>
                <w:lang w:eastAsia="zh-CN"/>
              </w:rPr>
              <w:t xml:space="preserve"> whether</w:t>
            </w:r>
            <w:r>
              <w:rPr>
                <w:rFonts w:hint="eastAsia"/>
                <w:lang w:eastAsia="zh-CN"/>
              </w:rPr>
              <w:t xml:space="preserve"> </w:t>
            </w:r>
            <w:r>
              <w:rPr>
                <w:lang w:eastAsia="zh-CN"/>
              </w:rPr>
              <w:t xml:space="preserve">it is necessary to continue to discuss about </w:t>
            </w:r>
            <w:r>
              <w:rPr>
                <w:rFonts w:hint="eastAsia"/>
                <w:lang w:eastAsia="zh-CN"/>
              </w:rPr>
              <w:t xml:space="preserve">this issue </w:t>
            </w:r>
            <w:r>
              <w:rPr>
                <w:lang w:eastAsia="zh-CN"/>
              </w:rPr>
              <w:t xml:space="preserve">because this issue </w:t>
            </w:r>
            <w:r>
              <w:rPr>
                <w:rFonts w:hint="eastAsia"/>
                <w:lang w:eastAsia="zh-CN"/>
              </w:rPr>
              <w:t>has been discussed for several meetings</w:t>
            </w:r>
            <w:r>
              <w:rPr>
                <w:lang w:eastAsia="zh-CN"/>
              </w:rPr>
              <w:t xml:space="preserve"> and there is no consensus</w:t>
            </w:r>
            <w:r>
              <w:rPr>
                <w:rFonts w:hint="eastAsia"/>
                <w:lang w:eastAsia="zh-CN"/>
              </w:rPr>
              <w:t>.</w:t>
            </w:r>
          </w:p>
          <w:p>
            <w:pPr>
              <w:widowControl w:val="0"/>
              <w:rPr>
                <w:lang w:eastAsia="zh-CN"/>
              </w:rPr>
            </w:pPr>
            <w:r>
              <w:rPr>
                <w:rFonts w:hint="eastAsia"/>
                <w:lang w:eastAsia="zh-CN"/>
              </w:rPr>
              <w:t xml:space="preserve">For Issue 10, </w:t>
            </w:r>
            <w:r>
              <w:rPr>
                <w:lang w:eastAsia="zh-CN"/>
              </w:rPr>
              <w:t>it is better to</w:t>
            </w:r>
            <w:r>
              <w:rPr>
                <w:rFonts w:hint="eastAsia"/>
                <w:lang w:eastAsia="zh-CN"/>
              </w:rPr>
              <w:t xml:space="preserve"> wait for RAN2 </w:t>
            </w:r>
            <w:r>
              <w:rPr>
                <w:lang w:eastAsia="zh-CN"/>
              </w:rPr>
              <w:t>response</w:t>
            </w:r>
            <w:r>
              <w:rPr>
                <w:rFonts w:hint="eastAsia"/>
                <w:lang w:eastAsia="zh-CN"/>
              </w:rPr>
              <w:t>.</w:t>
            </w:r>
          </w:p>
          <w:p>
            <w:pPr>
              <w:widowControl w:val="0"/>
              <w:rPr>
                <w:lang w:eastAsia="zh-CN"/>
              </w:rPr>
            </w:pPr>
            <w:r>
              <w:rPr>
                <w:rFonts w:hint="eastAsia"/>
                <w:lang w:eastAsia="zh-CN"/>
              </w:rPr>
              <w:t>For Issue 11, OK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p>
        </w:tc>
        <w:tc>
          <w:tcPr>
            <w:tcW w:w="7611" w:type="dxa"/>
          </w:tcPr>
          <w:p>
            <w:pPr>
              <w:widowControl w:val="0"/>
              <w:rPr>
                <w:lang w:eastAsia="zh-CN"/>
              </w:rPr>
            </w:pPr>
            <w:r>
              <w:rPr>
                <w:lang w:eastAsia="zh-CN"/>
              </w:rPr>
              <w:t xml:space="preserve">For issue 10, our intention to mention it in the tdoc is to conclude it’s not supported as we should have done at last Dec meeting.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w:t>
            </w:r>
          </w:p>
        </w:tc>
        <w:tc>
          <w:tcPr>
            <w:tcW w:w="7611" w:type="dxa"/>
          </w:tcPr>
          <w:p>
            <w:pPr>
              <w:widowControl w:val="0"/>
              <w:rPr>
                <w:lang w:eastAsia="zh-CN"/>
              </w:rPr>
            </w:pPr>
            <w:r>
              <w:rPr>
                <w:lang w:eastAsia="zh-CN"/>
              </w:rPr>
              <w:t>For Issue 4, RAN1 should wait until RAN2 sends back the list of used RRC parameter names.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auto"/>
          </w:tcPr>
          <w:p>
            <w:pPr>
              <w:widowControl w:val="0"/>
              <w:rPr>
                <w:lang w:eastAsia="zh-CN"/>
              </w:rPr>
            </w:pPr>
            <w:r>
              <w:rPr>
                <w:rFonts w:hint="eastAsia"/>
                <w:lang w:eastAsia="zh-CN"/>
              </w:rPr>
              <w:t>H</w:t>
            </w:r>
            <w:r>
              <w:rPr>
                <w:lang w:eastAsia="zh-CN"/>
              </w:rPr>
              <w:t>uawei, HiSilicon</w:t>
            </w:r>
          </w:p>
        </w:tc>
        <w:tc>
          <w:tcPr>
            <w:tcW w:w="7611" w:type="dxa"/>
            <w:shd w:val="clear" w:color="auto" w:fill="auto"/>
          </w:tcPr>
          <w:p>
            <w:pPr>
              <w:widowControl w:val="0"/>
              <w:rPr>
                <w:lang w:eastAsia="zh-CN"/>
              </w:rPr>
            </w:pPr>
            <w:r>
              <w:rPr>
                <w:rFonts w:hint="eastAsia"/>
                <w:lang w:eastAsia="zh-CN"/>
              </w:rPr>
              <w:t>W</w:t>
            </w:r>
            <w:r>
              <w:rPr>
                <w:lang w:eastAsia="zh-CN"/>
              </w:rPr>
              <w:t>e put some of our SDT related issues in R1-2204906 which may be better to be treated by SDT session.</w:t>
            </w:r>
          </w:p>
          <w:p>
            <w:pPr>
              <w:pStyle w:val="177"/>
              <w:widowControl w:val="0"/>
              <w:numPr>
                <w:ilvl w:val="0"/>
                <w:numId w:val="9"/>
              </w:numPr>
              <w:spacing w:line="240" w:lineRule="auto"/>
              <w:ind w:firstLineChars="0"/>
            </w:pPr>
            <w:r>
              <w:rPr>
                <w:lang w:eastAsia="zh-CN"/>
              </w:rPr>
              <w:t xml:space="preserve">Besides TA validation, cell reselection, CG resource reselection also needs considered during </w:t>
            </w:r>
            <w:r>
              <w:t>Subsequent data transmission.</w:t>
            </w:r>
          </w:p>
          <w:p>
            <w:pPr>
              <w:pStyle w:val="177"/>
              <w:widowControl w:val="0"/>
              <w:ind w:left="360" w:firstLine="0" w:firstLineChars="0"/>
            </w:pPr>
            <w:r>
              <w:t>Similarly, as agreed in RedCap, Paging is only in the BWP associated with CD-SSB. The following agreement are made in SDT, we think</w:t>
            </w:r>
            <w:r>
              <w:rPr>
                <w:lang w:eastAsia="zh-CN"/>
              </w:rPr>
              <w:t xml:space="preserve"> it is not clear if RAN2 intends to allow this possibility that a UE does not monitor SI change or PWS notification, especially when the </w:t>
            </w:r>
            <w:r>
              <w:rPr>
                <w:rFonts w:hint="eastAsia"/>
                <w:lang w:eastAsia="zh-CN"/>
              </w:rPr>
              <w:t>separate initial DL BWP does not include any SSBs</w:t>
            </w:r>
            <w:r>
              <w:rPr>
                <w:lang w:eastAsia="zh-CN"/>
              </w:rPr>
              <w:t xml:space="preserve"> and CORESET#0</w:t>
            </w:r>
          </w:p>
          <w:p>
            <w:pPr>
              <w:widowControl w:val="0"/>
              <w:tabs>
                <w:tab w:val="left" w:pos="772"/>
              </w:tabs>
              <w:spacing w:after="0"/>
              <w:rPr>
                <w:bCs/>
                <w:highlight w:val="green"/>
                <w:shd w:val="pct10" w:color="auto" w:fill="FFFFFF"/>
              </w:rPr>
            </w:pPr>
            <w:r>
              <w:rPr>
                <w:shd w:val="pct10" w:color="auto" w:fill="FFFFFF"/>
              </w:rPr>
              <w:t xml:space="preserve">RAN2#116b-e </w:t>
            </w:r>
            <w:r>
              <w:rPr>
                <w:highlight w:val="green"/>
                <w:shd w:val="pct10" w:color="auto" w:fill="FFFFFF"/>
              </w:rPr>
              <w:t>Agreement for SDT</w:t>
            </w:r>
          </w:p>
          <w:p>
            <w:pPr>
              <w:widowControl w:val="0"/>
              <w:overflowPunct w:val="0"/>
              <w:snapToGrid/>
              <w:spacing w:after="180"/>
              <w:jc w:val="left"/>
              <w:textAlignment w:val="baseline"/>
              <w:rPr>
                <w:rFonts w:eastAsia="等线"/>
                <w:sz w:val="20"/>
                <w:szCs w:val="20"/>
                <w:shd w:val="pct10" w:color="auto" w:fill="FFFFFF"/>
                <w:lang w:val="en-GB" w:eastAsia="en-GB"/>
              </w:rPr>
            </w:pPr>
            <w:r>
              <w:rPr>
                <w:rFonts w:eastAsia="等线"/>
                <w:sz w:val="20"/>
                <w:szCs w:val="20"/>
                <w:shd w:val="pct10" w:color="auto" w:fill="FFFFFF"/>
                <w:lang w:val="en-GB" w:eastAsia="en-GB"/>
              </w:rPr>
              <w:t>9.</w:t>
            </w:r>
            <w:r>
              <w:rPr>
                <w:rFonts w:eastAsia="等线"/>
                <w:sz w:val="20"/>
                <w:szCs w:val="20"/>
                <w:shd w:val="pct10" w:color="auto" w:fill="FFFFFF"/>
                <w:lang w:val="en-GB" w:eastAsia="en-GB"/>
              </w:rPr>
              <w:tab/>
            </w:r>
            <w:r>
              <w:rPr>
                <w:rFonts w:eastAsia="等线"/>
                <w:sz w:val="20"/>
                <w:szCs w:val="20"/>
                <w:shd w:val="pct10" w:color="auto" w:fill="FFFFFF"/>
                <w:lang w:val="en-GB" w:eastAsia="en-GB"/>
              </w:rPr>
              <w:t xml:space="preserve">During the SDT procedure (i.e. while SDT timer is running), UE monitors SI change indication in any paging occasion at least once per modification period (i.e. same as legacy RRC_CONNECTED). </w:t>
            </w:r>
          </w:p>
          <w:p>
            <w:pPr>
              <w:widowControl w:val="0"/>
              <w:rPr>
                <w:shd w:val="pct10" w:color="auto" w:fill="FFFFFF"/>
              </w:rPr>
            </w:pPr>
            <w:r>
              <w:rPr>
                <w:rFonts w:eastAsia="等线"/>
                <w:sz w:val="20"/>
                <w:szCs w:val="20"/>
                <w:shd w:val="pct10" w:color="auto" w:fill="FFFFFF"/>
                <w:lang w:val="en-GB" w:eastAsia="en-GB"/>
              </w:rPr>
              <w:t>10.</w:t>
            </w:r>
            <w:r>
              <w:rPr>
                <w:rFonts w:eastAsia="等线"/>
                <w:sz w:val="20"/>
                <w:szCs w:val="20"/>
                <w:shd w:val="pct10" w:color="auto" w:fill="FFFFFF"/>
                <w:lang w:val="en-GB" w:eastAsia="en-GB"/>
              </w:rPr>
              <w:tab/>
            </w:r>
            <w:r>
              <w:rPr>
                <w:rFonts w:eastAsia="等线"/>
                <w:sz w:val="20"/>
                <w:szCs w:val="20"/>
                <w:shd w:val="pct10" w:color="auto" w:fill="FFFFFF"/>
                <w:lang w:val="en-GB" w:eastAsia="en-GB"/>
              </w:rPr>
              <w:t>During the SDT procedure (i.e. while SDT timer is running), ETWS or CMAS capable Ues monitors PWS notification in any paging occasion at least once every defaultPagingCycle (i.e. same as legacy RRC_CONNECTED).</w:t>
            </w:r>
          </w:p>
          <w:p>
            <w:pPr>
              <w:widowControl w:val="0"/>
              <w:rPr>
                <w:lang w:eastAsia="zh-CN"/>
              </w:rPr>
            </w:pPr>
          </w:p>
          <w:p>
            <w:pPr>
              <w:pStyle w:val="177"/>
              <w:widowControl w:val="0"/>
              <w:numPr>
                <w:ilvl w:val="0"/>
                <w:numId w:val="9"/>
              </w:numPr>
              <w:spacing w:line="240" w:lineRule="auto"/>
              <w:ind w:firstLineChars="0"/>
              <w:rPr>
                <w:lang w:eastAsia="zh-CN"/>
              </w:rPr>
            </w:pPr>
            <w:r>
              <w:rPr>
                <w:lang w:eastAsia="zh-CN"/>
              </w:rPr>
              <w:t>A</w:t>
            </w:r>
            <w:r>
              <w:rPr>
                <w:rFonts w:hint="eastAsia"/>
                <w:lang w:eastAsia="zh-CN"/>
              </w:rPr>
              <w:t>nother</w:t>
            </w:r>
            <w:r>
              <w:rPr>
                <w:lang w:eastAsia="zh-CN"/>
              </w:rPr>
              <w:t xml:space="preserve"> issue </w:t>
            </w:r>
            <w:r>
              <w:rPr>
                <w:rFonts w:hint="eastAsia"/>
                <w:lang w:eastAsia="zh-CN"/>
              </w:rPr>
              <w:t>m</w:t>
            </w:r>
            <w:r>
              <w:rPr>
                <w:lang w:eastAsia="zh-CN"/>
              </w:rPr>
              <w:t>ay needs discussion in about HARQ-ACK. During SDT procedure, only common PUCCH resource can be used, which can carry one or two bits. If gNB schedule HARQ-ACK feedback associated with more than two TBs in the same slot, it should be specified which HARQ-ACK to feedback, or such case is not expected.</w:t>
            </w:r>
          </w:p>
        </w:tc>
      </w:tr>
    </w:tbl>
    <w:p/>
    <w:p/>
    <w:p>
      <w:pPr>
        <w:pStyle w:val="2"/>
      </w:pPr>
      <w:r>
        <w:t>Summary</w:t>
      </w:r>
    </w:p>
    <w:p>
      <w:pPr>
        <w:rPr>
          <w:rFonts w:hint="eastAsia"/>
          <w:lang w:val="en-US" w:eastAsia="zh-CN"/>
        </w:rPr>
      </w:pPr>
      <w:r>
        <w:rPr>
          <w:rFonts w:hint="eastAsia"/>
          <w:lang w:val="en-US" w:eastAsia="zh-CN"/>
        </w:rPr>
        <w:t xml:space="preserve">Based on the comments received from 9 companies in preparation phase, the following </w:t>
      </w:r>
      <w:r>
        <w:rPr>
          <w:rFonts w:hint="eastAsia"/>
          <w:b/>
          <w:bCs/>
          <w:lang w:val="en-US" w:eastAsia="zh-CN"/>
        </w:rPr>
        <w:t>observations</w:t>
      </w:r>
      <w:r>
        <w:rPr>
          <w:rFonts w:hint="eastAsia"/>
          <w:lang w:val="en-US" w:eastAsia="zh-CN"/>
        </w:rPr>
        <w:t xml:space="preserve"> can be made:</w:t>
      </w:r>
    </w:p>
    <w:p>
      <w:pPr>
        <w:numPr>
          <w:ilvl w:val="0"/>
          <w:numId w:val="11"/>
        </w:numPr>
        <w:ind w:left="720" w:leftChars="0" w:hanging="360" w:firstLineChars="0"/>
        <w:rPr>
          <w:rFonts w:hint="eastAsia"/>
          <w:lang w:val="en-US" w:eastAsia="zh-CN"/>
        </w:rPr>
      </w:pPr>
      <w:r>
        <w:rPr>
          <w:rFonts w:hint="eastAsia"/>
          <w:lang w:val="en-US" w:eastAsia="zh-CN"/>
        </w:rPr>
        <w:t>For Issue#1, 2, 6 and 11, more than half of companies support to discuss these issues in RAN1#109-e as High priority;</w:t>
      </w:r>
    </w:p>
    <w:p>
      <w:pPr>
        <w:numPr>
          <w:ilvl w:val="0"/>
          <w:numId w:val="11"/>
        </w:numPr>
        <w:ind w:left="720" w:leftChars="0" w:hanging="360" w:firstLineChars="0"/>
        <w:rPr>
          <w:rFonts w:hint="eastAsia"/>
          <w:lang w:val="en-US" w:eastAsia="zh-CN"/>
        </w:rPr>
      </w:pPr>
      <w:r>
        <w:rPr>
          <w:rFonts w:hint="eastAsia"/>
          <w:lang w:val="en-US" w:eastAsia="zh-CN"/>
        </w:rPr>
        <w:t>For Issue#3 and 4, more than half of companies think these issues can be handled in RAN1#109-e as Editorial;</w:t>
      </w:r>
    </w:p>
    <w:p>
      <w:pPr>
        <w:numPr>
          <w:ilvl w:val="0"/>
          <w:numId w:val="11"/>
        </w:numPr>
        <w:ind w:left="720" w:leftChars="0" w:hanging="360" w:firstLineChars="0"/>
        <w:rPr>
          <w:rFonts w:hint="eastAsia"/>
          <w:lang w:val="en-US" w:eastAsia="zh-CN"/>
        </w:rPr>
      </w:pPr>
      <w:r>
        <w:rPr>
          <w:rFonts w:hint="eastAsia"/>
          <w:lang w:val="en-US" w:eastAsia="zh-CN"/>
        </w:rPr>
        <w:t>For other issues, more than half of companies think these issues are Non-essential.</w:t>
      </w:r>
    </w:p>
    <w:p>
      <w:pPr>
        <w:rPr>
          <w:rFonts w:hint="eastAsia"/>
          <w:lang w:val="en-US" w:eastAsia="zh-CN"/>
        </w:rPr>
      </w:pPr>
    </w:p>
    <w:p>
      <w:pPr>
        <w:rPr>
          <w:rFonts w:hint="eastAsia"/>
          <w:lang w:val="en-US" w:eastAsia="zh-CN"/>
        </w:rPr>
      </w:pPr>
      <w:r>
        <w:rPr>
          <w:rFonts w:hint="eastAsia"/>
          <w:lang w:val="en-US" w:eastAsia="zh-CN"/>
        </w:rPr>
        <w:t xml:space="preserve">Given the situation, the following </w:t>
      </w:r>
      <w:r>
        <w:rPr>
          <w:rFonts w:hint="eastAsia"/>
          <w:b/>
          <w:bCs/>
          <w:lang w:val="en-US" w:eastAsia="zh-CN"/>
        </w:rPr>
        <w:t>FL proposal</w:t>
      </w:r>
      <w:r>
        <w:rPr>
          <w:rFonts w:hint="eastAsia"/>
          <w:lang w:val="en-US" w:eastAsia="zh-CN"/>
        </w:rPr>
        <w:t xml:space="preserve"> can be made:</w:t>
      </w:r>
    </w:p>
    <w:p>
      <w:pPr>
        <w:rPr>
          <w:rFonts w:hint="eastAsia"/>
          <w:lang w:val="en-US" w:eastAsia="zh-CN"/>
        </w:rPr>
      </w:pPr>
      <w:r>
        <w:rPr>
          <w:rFonts w:hint="eastAsia"/>
          <w:lang w:val="en-US" w:eastAsia="zh-CN"/>
        </w:rPr>
        <w:t>Discuss the following issues in one email thread in RAN1#109-e:</w:t>
      </w:r>
    </w:p>
    <w:p>
      <w:pPr>
        <w:numPr>
          <w:ilvl w:val="0"/>
          <w:numId w:val="12"/>
        </w:numPr>
        <w:ind w:left="720" w:leftChars="0" w:hanging="360" w:firstLineChars="0"/>
        <w:rPr>
          <w:rFonts w:hint="eastAsia"/>
          <w:lang w:val="en-US" w:eastAsia="zh-CN"/>
        </w:rPr>
      </w:pPr>
      <w:r>
        <w:rPr>
          <w:rFonts w:hint="eastAsia"/>
          <w:lang w:val="en-US" w:eastAsia="zh-CN"/>
        </w:rPr>
        <w:t>Issue#1 Association period determined by CG period less than 5ms</w:t>
      </w:r>
    </w:p>
    <w:p>
      <w:pPr>
        <w:numPr>
          <w:ilvl w:val="0"/>
          <w:numId w:val="12"/>
        </w:numPr>
        <w:ind w:left="720" w:leftChars="0" w:hanging="360" w:firstLineChars="0"/>
        <w:rPr>
          <w:rFonts w:hint="eastAsia"/>
          <w:lang w:val="en-US" w:eastAsia="zh-CN"/>
        </w:rPr>
      </w:pPr>
      <w:r>
        <w:rPr>
          <w:rFonts w:hint="eastAsia"/>
          <w:lang w:val="en-US" w:eastAsia="zh-CN"/>
        </w:rPr>
        <w:t>Issue#2 SSBs for TA validation and mapping in HD-FDD</w:t>
      </w:r>
    </w:p>
    <w:p>
      <w:pPr>
        <w:numPr>
          <w:ilvl w:val="0"/>
          <w:numId w:val="12"/>
        </w:numPr>
        <w:ind w:left="720" w:leftChars="0" w:hanging="360" w:firstLineChars="0"/>
        <w:rPr>
          <w:rFonts w:hint="eastAsia"/>
          <w:lang w:val="en-US" w:eastAsia="zh-CN"/>
        </w:rPr>
      </w:pPr>
      <w:r>
        <w:rPr>
          <w:rFonts w:hint="eastAsia"/>
          <w:lang w:val="en-US" w:eastAsia="zh-CN"/>
        </w:rPr>
        <w:t>Issue#3 Editorial correction on PRACH configuration for RA-SDT</w:t>
      </w:r>
    </w:p>
    <w:p>
      <w:pPr>
        <w:numPr>
          <w:ilvl w:val="0"/>
          <w:numId w:val="12"/>
        </w:numPr>
        <w:ind w:left="720" w:leftChars="0" w:hanging="360" w:firstLineChars="0"/>
        <w:rPr>
          <w:rFonts w:hint="eastAsia"/>
          <w:lang w:val="en-US" w:eastAsia="zh-CN"/>
        </w:rPr>
      </w:pPr>
      <w:r>
        <w:rPr>
          <w:rFonts w:hint="eastAsia"/>
          <w:lang w:val="en-US" w:eastAsia="zh-CN"/>
        </w:rPr>
        <w:t>Issue#4 Editorial correction on USS set for CG-SDT</w:t>
      </w:r>
    </w:p>
    <w:p>
      <w:pPr>
        <w:numPr>
          <w:ilvl w:val="0"/>
          <w:numId w:val="12"/>
        </w:numPr>
        <w:ind w:left="720" w:leftChars="0" w:hanging="360" w:firstLineChars="0"/>
        <w:rPr>
          <w:rFonts w:hint="default"/>
          <w:lang w:val="en-US" w:eastAsia="zh-CN"/>
        </w:rPr>
      </w:pPr>
      <w:r>
        <w:rPr>
          <w:rFonts w:hint="eastAsia"/>
          <w:lang w:val="en-US" w:eastAsia="zh-CN"/>
        </w:rPr>
        <w:t>Issue#6 Validation rule for CG-SDT overlapping with MsgA PUSCH</w:t>
      </w:r>
    </w:p>
    <w:p>
      <w:pPr>
        <w:numPr>
          <w:ilvl w:val="0"/>
          <w:numId w:val="12"/>
        </w:numPr>
        <w:ind w:left="720" w:leftChars="0" w:hanging="360" w:firstLineChars="0"/>
        <w:rPr>
          <w:rFonts w:hint="default"/>
          <w:lang w:val="en-US" w:eastAsia="zh-CN"/>
        </w:rPr>
      </w:pPr>
      <w:r>
        <w:rPr>
          <w:rFonts w:hint="eastAsia"/>
          <w:lang w:val="en-US" w:eastAsia="zh-CN"/>
        </w:rPr>
        <w:t>Issue#11 Type 1A CSS set overlapping with Type 1 CSS set</w:t>
      </w:r>
    </w:p>
    <w:p>
      <w:bookmarkStart w:id="3" w:name="_GoBack"/>
      <w:bookmarkEnd w:id="3"/>
    </w:p>
    <w:p/>
    <w:p>
      <w:pPr>
        <w:pStyle w:val="2"/>
      </w:pPr>
      <w:r>
        <w:rPr>
          <w:rFonts w:hint="eastAsia"/>
        </w:rPr>
        <w:t>References</w:t>
      </w:r>
    </w:p>
    <w:p>
      <w:pPr>
        <w:pStyle w:val="58"/>
        <w:numPr>
          <w:ilvl w:val="0"/>
          <w:numId w:val="13"/>
        </w:numPr>
      </w:pPr>
      <w:r>
        <w:rPr>
          <w:rFonts w:hint="eastAsia"/>
        </w:rPr>
        <w:t>R1-2203244</w:t>
      </w:r>
      <w:r>
        <w:rPr>
          <w:rFonts w:hint="eastAsia"/>
        </w:rPr>
        <w:tab/>
      </w:r>
      <w:r>
        <w:rPr>
          <w:rFonts w:hint="eastAsia"/>
        </w:rPr>
        <w:t>Discussion on remaining physical layer issues of small data transmission</w:t>
      </w:r>
      <w:r>
        <w:rPr>
          <w:rFonts w:hint="eastAsia"/>
        </w:rPr>
        <w:tab/>
      </w:r>
      <w:r>
        <w:rPr>
          <w:rFonts w:hint="eastAsia"/>
        </w:rPr>
        <w:t>ZTE Corporation</w:t>
      </w:r>
    </w:p>
    <w:p>
      <w:pPr>
        <w:pStyle w:val="58"/>
        <w:numPr>
          <w:ilvl w:val="0"/>
          <w:numId w:val="13"/>
        </w:numPr>
      </w:pPr>
      <w:r>
        <w:rPr>
          <w:rFonts w:hint="eastAsia"/>
        </w:rPr>
        <w:t>R1-2203540</w:t>
      </w:r>
      <w:r>
        <w:rPr>
          <w:rFonts w:hint="eastAsia"/>
        </w:rPr>
        <w:tab/>
      </w:r>
      <w:r>
        <w:rPr>
          <w:rFonts w:hint="eastAsia"/>
        </w:rPr>
        <w:t>Remaining issues for NR small data transmissions in RRC INACTIVE state and Tx switching enhancements</w:t>
      </w:r>
      <w:r>
        <w:rPr>
          <w:rFonts w:hint="eastAsia"/>
        </w:rPr>
        <w:tab/>
      </w:r>
      <w:r>
        <w:rPr>
          <w:rFonts w:hint="eastAsia"/>
        </w:rPr>
        <w:t>vivo</w:t>
      </w:r>
    </w:p>
    <w:p>
      <w:pPr>
        <w:pStyle w:val="58"/>
        <w:numPr>
          <w:ilvl w:val="0"/>
          <w:numId w:val="13"/>
        </w:numPr>
      </w:pPr>
      <w:r>
        <w:rPr>
          <w:rFonts w:hint="eastAsia"/>
        </w:rPr>
        <w:t>R1-2203637</w:t>
      </w:r>
      <w:r>
        <w:rPr>
          <w:rFonts w:hint="eastAsia"/>
        </w:rPr>
        <w:tab/>
      </w:r>
      <w:r>
        <w:rPr>
          <w:rFonts w:hint="eastAsia"/>
        </w:rPr>
        <w:t>Maintenance issues for NR small data transmissions in inactive state</w:t>
      </w:r>
      <w:r>
        <w:rPr>
          <w:rFonts w:hint="eastAsia"/>
        </w:rPr>
        <w:tab/>
      </w:r>
      <w:r>
        <w:rPr>
          <w:rFonts w:hint="eastAsia"/>
        </w:rPr>
        <w:t>Ericsson</w:t>
      </w:r>
    </w:p>
    <w:p>
      <w:pPr>
        <w:pStyle w:val="58"/>
        <w:numPr>
          <w:ilvl w:val="0"/>
          <w:numId w:val="13"/>
        </w:numPr>
      </w:pPr>
      <w:r>
        <w:rPr>
          <w:rFonts w:hint="eastAsia"/>
        </w:rPr>
        <w:t>R1-2203885</w:t>
      </w:r>
      <w:r>
        <w:rPr>
          <w:rFonts w:hint="eastAsia"/>
        </w:rPr>
        <w:tab/>
      </w:r>
      <w:r>
        <w:rPr>
          <w:rFonts w:hint="eastAsia"/>
        </w:rPr>
        <w:t>Maintenance on small data transmission</w:t>
      </w:r>
      <w:r>
        <w:rPr>
          <w:rFonts w:hint="eastAsia"/>
        </w:rPr>
        <w:tab/>
      </w:r>
      <w:r>
        <w:rPr>
          <w:rFonts w:hint="eastAsia"/>
        </w:rPr>
        <w:t>Samsung</w:t>
      </w:r>
    </w:p>
    <w:p>
      <w:pPr>
        <w:pStyle w:val="58"/>
        <w:numPr>
          <w:ilvl w:val="0"/>
          <w:numId w:val="13"/>
        </w:numPr>
      </w:pPr>
      <w:r>
        <w:rPr>
          <w:rFonts w:hint="eastAsia"/>
        </w:rPr>
        <w:t>R1-2204518</w:t>
      </w:r>
      <w:r>
        <w:rPr>
          <w:rFonts w:hint="eastAsia"/>
        </w:rPr>
        <w:tab/>
      </w:r>
      <w:r>
        <w:rPr>
          <w:rFonts w:hint="eastAsia"/>
        </w:rPr>
        <w:t>Remaining issues on RAN1 aspects for small data transmission</w:t>
      </w:r>
      <w:r>
        <w:rPr>
          <w:rFonts w:hint="eastAsia"/>
        </w:rPr>
        <w:tab/>
      </w:r>
      <w:r>
        <w:rPr>
          <w:rFonts w:hint="eastAsia"/>
        </w:rPr>
        <w:t>Spreadtrum Communications</w:t>
      </w:r>
    </w:p>
    <w:p>
      <w:pPr>
        <w:pStyle w:val="58"/>
        <w:numPr>
          <w:ilvl w:val="0"/>
          <w:numId w:val="13"/>
        </w:numPr>
      </w:pPr>
      <w:r>
        <w:rPr>
          <w:rFonts w:hint="eastAsia"/>
        </w:rPr>
        <w:t>R1-2204784</w:t>
      </w:r>
      <w:r>
        <w:rPr>
          <w:rFonts w:hint="eastAsia"/>
        </w:rPr>
        <w:tab/>
      </w:r>
      <w:r>
        <w:rPr>
          <w:rFonts w:hint="eastAsia"/>
        </w:rPr>
        <w:t>Remaining issues on physical layer aspects of small data transmission</w:t>
      </w:r>
      <w:r>
        <w:rPr>
          <w:rFonts w:hint="eastAsia"/>
        </w:rPr>
        <w:tab/>
      </w:r>
      <w:r>
        <w:rPr>
          <w:rFonts w:hint="eastAsia"/>
        </w:rPr>
        <w:t>Intel Corporation</w:t>
      </w:r>
    </w:p>
    <w:p>
      <w:pPr>
        <w:pStyle w:val="58"/>
        <w:numPr>
          <w:ilvl w:val="0"/>
          <w:numId w:val="13"/>
        </w:numPr>
      </w:pPr>
      <w:r>
        <w:rPr>
          <w:rFonts w:hint="eastAsia"/>
        </w:rPr>
        <w:t>R1-2203767</w:t>
      </w:r>
      <w:r>
        <w:rPr>
          <w:rFonts w:hint="eastAsia"/>
        </w:rPr>
        <w:tab/>
      </w:r>
      <w:r>
        <w:rPr>
          <w:rFonts w:hint="eastAsia"/>
        </w:rPr>
        <w:t>Discussion on physical layer aspects of small data transmission</w:t>
      </w:r>
      <w:r>
        <w:rPr>
          <w:rFonts w:hint="eastAsia"/>
        </w:rPr>
        <w:tab/>
      </w:r>
      <w:r>
        <w:rPr>
          <w:rFonts w:hint="eastAsia"/>
        </w:rPr>
        <w:t>xiaomi</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FAA48D"/>
    <w:multiLevelType w:val="multilevel"/>
    <w:tmpl w:val="DDFAA48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FFFFFFFE"/>
    <w:multiLevelType w:val="singleLevel"/>
    <w:tmpl w:val="FFFFFFFE"/>
    <w:lvl w:ilvl="0" w:tentative="0">
      <w:start w:val="0"/>
      <w:numFmt w:val="decimal"/>
      <w:lvlText w:val="*"/>
      <w:lvlJc w:val="left"/>
    </w:lvl>
  </w:abstractNum>
  <w:abstractNum w:abstractNumId="2">
    <w:nsid w:val="193B1CFE"/>
    <w:multiLevelType w:val="multilevel"/>
    <w:tmpl w:val="193B1CF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F6B357"/>
    <w:multiLevelType w:val="multilevel"/>
    <w:tmpl w:val="29F6B35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lang w:val="en-GB"/>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44"/>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7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74E1881"/>
    <w:multiLevelType w:val="multilevel"/>
    <w:tmpl w:val="574E1881"/>
    <w:lvl w:ilvl="0" w:tentative="0">
      <w:start w:val="8"/>
      <w:numFmt w:val="bullet"/>
      <w:pStyle w:val="82"/>
      <w:lvlText w:val=""/>
      <w:lvlJc w:val="left"/>
      <w:pPr>
        <w:ind w:left="1044" w:hanging="400"/>
      </w:pPr>
      <w:rPr>
        <w:rFonts w:hint="default" w:ascii="Wingdings" w:hAnsi="Wingdings" w:eastAsia="Batang"/>
      </w:rPr>
    </w:lvl>
    <w:lvl w:ilvl="1" w:tentative="0">
      <w:start w:val="1"/>
      <w:numFmt w:val="bullet"/>
      <w:pStyle w:val="83"/>
      <w:lvlText w:val="o"/>
      <w:lvlJc w:val="left"/>
      <w:pPr>
        <w:ind w:left="1444" w:hanging="400"/>
      </w:pPr>
      <w:rPr>
        <w:rFonts w:hint="default" w:ascii="Courier New" w:hAnsi="Courier New" w:cs="Courier New"/>
        <w:lang w:val="en-AU"/>
      </w:rPr>
    </w:lvl>
    <w:lvl w:ilvl="2" w:tentative="0">
      <w:start w:val="8"/>
      <w:numFmt w:val="bullet"/>
      <w:pStyle w:val="80"/>
      <w:lvlText w:val="-"/>
      <w:lvlJc w:val="left"/>
      <w:pPr>
        <w:ind w:left="1844" w:hanging="400"/>
      </w:pPr>
      <w:rPr>
        <w:rFonts w:hint="default" w:ascii="Times New Roman" w:hAnsi="Times New Roman" w:eastAsia="MS Mincho" w:cs="Times New Roman"/>
        <w:lang w:val="en-GB"/>
      </w:rPr>
    </w:lvl>
    <w:lvl w:ilvl="3" w:tentative="0">
      <w:start w:val="1"/>
      <w:numFmt w:val="bullet"/>
      <w:pStyle w:val="84"/>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1"/>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9">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146DC0"/>
    <w:multiLevelType w:val="multilevel"/>
    <w:tmpl w:val="70146DC0"/>
    <w:lvl w:ilvl="0" w:tentative="0">
      <w:start w:val="1"/>
      <w:numFmt w:val="bullet"/>
      <w:pStyle w:val="60"/>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83679F6"/>
    <w:multiLevelType w:val="multilevel"/>
    <w:tmpl w:val="783679F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4"/>
  </w:num>
  <w:num w:numId="2">
    <w:abstractNumId w:val="5"/>
  </w:num>
  <w:num w:numId="3">
    <w:abstractNumId w:val="11"/>
  </w:num>
  <w:num w:numId="4">
    <w:abstractNumId w:val="6"/>
  </w:num>
  <w:num w:numId="5">
    <w:abstractNumId w:val="8"/>
  </w:num>
  <w:num w:numId="6">
    <w:abstractNumId w:val="7"/>
  </w:num>
  <w:num w:numId="7">
    <w:abstractNumId w:val="1"/>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9"/>
  </w:num>
  <w:num w:numId="9">
    <w:abstractNumId w:val="2"/>
  </w:num>
  <w:num w:numId="10">
    <w:abstractNumId w:val="12"/>
  </w:num>
  <w:num w:numId="11">
    <w:abstractNumId w:val="0"/>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3018"/>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B7"/>
    <w:rsid w:val="00011413"/>
    <w:rsid w:val="00011AAB"/>
    <w:rsid w:val="00011B12"/>
    <w:rsid w:val="00011E9B"/>
    <w:rsid w:val="00011F67"/>
    <w:rsid w:val="00011FBB"/>
    <w:rsid w:val="00012212"/>
    <w:rsid w:val="000126D1"/>
    <w:rsid w:val="00012747"/>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1B3"/>
    <w:rsid w:val="000275C6"/>
    <w:rsid w:val="000277BC"/>
    <w:rsid w:val="00027AD6"/>
    <w:rsid w:val="00027B9B"/>
    <w:rsid w:val="00027EF9"/>
    <w:rsid w:val="00027FF2"/>
    <w:rsid w:val="0003024C"/>
    <w:rsid w:val="0003032B"/>
    <w:rsid w:val="0003078C"/>
    <w:rsid w:val="00030860"/>
    <w:rsid w:val="00030ED5"/>
    <w:rsid w:val="00031115"/>
    <w:rsid w:val="000315B8"/>
    <w:rsid w:val="00031791"/>
    <w:rsid w:val="0003197C"/>
    <w:rsid w:val="00031ADB"/>
    <w:rsid w:val="00031C90"/>
    <w:rsid w:val="00032056"/>
    <w:rsid w:val="00032463"/>
    <w:rsid w:val="000328CA"/>
    <w:rsid w:val="00032BD9"/>
    <w:rsid w:val="00032D31"/>
    <w:rsid w:val="00032E40"/>
    <w:rsid w:val="00032F91"/>
    <w:rsid w:val="000334B8"/>
    <w:rsid w:val="000334D7"/>
    <w:rsid w:val="0003376B"/>
    <w:rsid w:val="00033947"/>
    <w:rsid w:val="00034190"/>
    <w:rsid w:val="00034260"/>
    <w:rsid w:val="00034411"/>
    <w:rsid w:val="000345B3"/>
    <w:rsid w:val="00034676"/>
    <w:rsid w:val="000346E6"/>
    <w:rsid w:val="000352B3"/>
    <w:rsid w:val="000352D2"/>
    <w:rsid w:val="000355FB"/>
    <w:rsid w:val="0003563A"/>
    <w:rsid w:val="00035C50"/>
    <w:rsid w:val="00036143"/>
    <w:rsid w:val="00036321"/>
    <w:rsid w:val="000366CF"/>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6B5"/>
    <w:rsid w:val="0004277F"/>
    <w:rsid w:val="000428C9"/>
    <w:rsid w:val="00042BEA"/>
    <w:rsid w:val="000434B7"/>
    <w:rsid w:val="00043546"/>
    <w:rsid w:val="000435E4"/>
    <w:rsid w:val="000439A0"/>
    <w:rsid w:val="00043F52"/>
    <w:rsid w:val="0004415C"/>
    <w:rsid w:val="000446A9"/>
    <w:rsid w:val="00044F77"/>
    <w:rsid w:val="000456A4"/>
    <w:rsid w:val="0004571E"/>
    <w:rsid w:val="000458C6"/>
    <w:rsid w:val="00045A32"/>
    <w:rsid w:val="00045DC5"/>
    <w:rsid w:val="000461C6"/>
    <w:rsid w:val="00046316"/>
    <w:rsid w:val="00046577"/>
    <w:rsid w:val="00046734"/>
    <w:rsid w:val="00046796"/>
    <w:rsid w:val="000467FD"/>
    <w:rsid w:val="00046AAF"/>
    <w:rsid w:val="00046ABF"/>
    <w:rsid w:val="00046BA5"/>
    <w:rsid w:val="00046F28"/>
    <w:rsid w:val="00047225"/>
    <w:rsid w:val="0004732F"/>
    <w:rsid w:val="000474F3"/>
    <w:rsid w:val="00047DE6"/>
    <w:rsid w:val="00047E60"/>
    <w:rsid w:val="000500D0"/>
    <w:rsid w:val="00050793"/>
    <w:rsid w:val="00050B31"/>
    <w:rsid w:val="000510C0"/>
    <w:rsid w:val="000512A2"/>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C8"/>
    <w:rsid w:val="000567F8"/>
    <w:rsid w:val="000569FD"/>
    <w:rsid w:val="00056B56"/>
    <w:rsid w:val="00057179"/>
    <w:rsid w:val="00057675"/>
    <w:rsid w:val="00057756"/>
    <w:rsid w:val="000577C9"/>
    <w:rsid w:val="000578EB"/>
    <w:rsid w:val="00057A5A"/>
    <w:rsid w:val="00057DC8"/>
    <w:rsid w:val="0006018A"/>
    <w:rsid w:val="00060E8E"/>
    <w:rsid w:val="000612E1"/>
    <w:rsid w:val="000614A9"/>
    <w:rsid w:val="000614FE"/>
    <w:rsid w:val="0006245A"/>
    <w:rsid w:val="00062913"/>
    <w:rsid w:val="00062AA9"/>
    <w:rsid w:val="00062CA4"/>
    <w:rsid w:val="00063180"/>
    <w:rsid w:val="00063976"/>
    <w:rsid w:val="00064050"/>
    <w:rsid w:val="00064059"/>
    <w:rsid w:val="000640B1"/>
    <w:rsid w:val="000641DB"/>
    <w:rsid w:val="00064266"/>
    <w:rsid w:val="0006431C"/>
    <w:rsid w:val="0006436A"/>
    <w:rsid w:val="00064513"/>
    <w:rsid w:val="0006462E"/>
    <w:rsid w:val="00064829"/>
    <w:rsid w:val="000650A7"/>
    <w:rsid w:val="00065141"/>
    <w:rsid w:val="00065344"/>
    <w:rsid w:val="00065509"/>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120"/>
    <w:rsid w:val="00074315"/>
    <w:rsid w:val="000745AA"/>
    <w:rsid w:val="00074E86"/>
    <w:rsid w:val="000751FE"/>
    <w:rsid w:val="000755E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69F"/>
    <w:rsid w:val="000776EB"/>
    <w:rsid w:val="00080079"/>
    <w:rsid w:val="00080202"/>
    <w:rsid w:val="00080962"/>
    <w:rsid w:val="00080BDB"/>
    <w:rsid w:val="00080DC2"/>
    <w:rsid w:val="00080E12"/>
    <w:rsid w:val="00080ED3"/>
    <w:rsid w:val="0008125E"/>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D09"/>
    <w:rsid w:val="00083D19"/>
    <w:rsid w:val="0008449C"/>
    <w:rsid w:val="00084573"/>
    <w:rsid w:val="0008493B"/>
    <w:rsid w:val="00084F87"/>
    <w:rsid w:val="00085170"/>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4146"/>
    <w:rsid w:val="000A4205"/>
    <w:rsid w:val="000A43AA"/>
    <w:rsid w:val="000A47DF"/>
    <w:rsid w:val="000A4A19"/>
    <w:rsid w:val="000A54E1"/>
    <w:rsid w:val="000A5B8B"/>
    <w:rsid w:val="000A62CC"/>
    <w:rsid w:val="000A6351"/>
    <w:rsid w:val="000A63D6"/>
    <w:rsid w:val="000A664E"/>
    <w:rsid w:val="000A670F"/>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25F8"/>
    <w:rsid w:val="000B2985"/>
    <w:rsid w:val="000B2C88"/>
    <w:rsid w:val="000B2FAF"/>
    <w:rsid w:val="000B3342"/>
    <w:rsid w:val="000B34FA"/>
    <w:rsid w:val="000B38EB"/>
    <w:rsid w:val="000B41C8"/>
    <w:rsid w:val="000B441A"/>
    <w:rsid w:val="000B44AD"/>
    <w:rsid w:val="000B48C2"/>
    <w:rsid w:val="000B4A7B"/>
    <w:rsid w:val="000B51FA"/>
    <w:rsid w:val="000B5275"/>
    <w:rsid w:val="000B5905"/>
    <w:rsid w:val="000B5975"/>
    <w:rsid w:val="000B5A7A"/>
    <w:rsid w:val="000B5FAB"/>
    <w:rsid w:val="000B5FE9"/>
    <w:rsid w:val="000B638C"/>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436"/>
    <w:rsid w:val="000E0776"/>
    <w:rsid w:val="000E07D6"/>
    <w:rsid w:val="000E0C8A"/>
    <w:rsid w:val="000E0EFF"/>
    <w:rsid w:val="000E107D"/>
    <w:rsid w:val="000E1101"/>
    <w:rsid w:val="000E1133"/>
    <w:rsid w:val="000E1380"/>
    <w:rsid w:val="000E18DF"/>
    <w:rsid w:val="000E1D4B"/>
    <w:rsid w:val="000E1D77"/>
    <w:rsid w:val="000E23A1"/>
    <w:rsid w:val="000E247A"/>
    <w:rsid w:val="000E289D"/>
    <w:rsid w:val="000E2C63"/>
    <w:rsid w:val="000E2DF2"/>
    <w:rsid w:val="000E2F19"/>
    <w:rsid w:val="000E308A"/>
    <w:rsid w:val="000E3243"/>
    <w:rsid w:val="000E341F"/>
    <w:rsid w:val="000E36D4"/>
    <w:rsid w:val="000E3983"/>
    <w:rsid w:val="000E3992"/>
    <w:rsid w:val="000E3FAA"/>
    <w:rsid w:val="000E433A"/>
    <w:rsid w:val="000E446E"/>
    <w:rsid w:val="000E4798"/>
    <w:rsid w:val="000E48A3"/>
    <w:rsid w:val="000E4924"/>
    <w:rsid w:val="000E4BBC"/>
    <w:rsid w:val="000E4E42"/>
    <w:rsid w:val="000E500B"/>
    <w:rsid w:val="000E548F"/>
    <w:rsid w:val="000E59A0"/>
    <w:rsid w:val="000E630E"/>
    <w:rsid w:val="000E6A2B"/>
    <w:rsid w:val="000E6AD0"/>
    <w:rsid w:val="000E6B13"/>
    <w:rsid w:val="000E704C"/>
    <w:rsid w:val="000E71FE"/>
    <w:rsid w:val="000E7347"/>
    <w:rsid w:val="000E7466"/>
    <w:rsid w:val="000E7621"/>
    <w:rsid w:val="000E7A84"/>
    <w:rsid w:val="000F048E"/>
    <w:rsid w:val="000F0560"/>
    <w:rsid w:val="000F0838"/>
    <w:rsid w:val="000F1385"/>
    <w:rsid w:val="000F13C3"/>
    <w:rsid w:val="000F1470"/>
    <w:rsid w:val="000F1511"/>
    <w:rsid w:val="000F15BC"/>
    <w:rsid w:val="000F180A"/>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E39"/>
    <w:rsid w:val="001026CA"/>
    <w:rsid w:val="001027D0"/>
    <w:rsid w:val="00102913"/>
    <w:rsid w:val="00102D7E"/>
    <w:rsid w:val="00102F82"/>
    <w:rsid w:val="0010321E"/>
    <w:rsid w:val="0010346F"/>
    <w:rsid w:val="001037DF"/>
    <w:rsid w:val="00103A36"/>
    <w:rsid w:val="00103B6B"/>
    <w:rsid w:val="00103C0B"/>
    <w:rsid w:val="00103CE2"/>
    <w:rsid w:val="001043C2"/>
    <w:rsid w:val="001043D6"/>
    <w:rsid w:val="001043E1"/>
    <w:rsid w:val="0010451E"/>
    <w:rsid w:val="00104749"/>
    <w:rsid w:val="0010505A"/>
    <w:rsid w:val="001058EA"/>
    <w:rsid w:val="001058F4"/>
    <w:rsid w:val="00105B51"/>
    <w:rsid w:val="00105C64"/>
    <w:rsid w:val="00105CC7"/>
    <w:rsid w:val="001062C1"/>
    <w:rsid w:val="0010660B"/>
    <w:rsid w:val="00106615"/>
    <w:rsid w:val="00106982"/>
    <w:rsid w:val="00106AF4"/>
    <w:rsid w:val="00106B43"/>
    <w:rsid w:val="00106C5A"/>
    <w:rsid w:val="00106D9A"/>
    <w:rsid w:val="0010754D"/>
    <w:rsid w:val="00107647"/>
    <w:rsid w:val="001076A8"/>
    <w:rsid w:val="001076CB"/>
    <w:rsid w:val="00107779"/>
    <w:rsid w:val="001078C2"/>
    <w:rsid w:val="001078D7"/>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20E9"/>
    <w:rsid w:val="0012279D"/>
    <w:rsid w:val="001229F8"/>
    <w:rsid w:val="00122DA2"/>
    <w:rsid w:val="001231D3"/>
    <w:rsid w:val="001233C0"/>
    <w:rsid w:val="0012371F"/>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6D9"/>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256"/>
    <w:rsid w:val="0013456B"/>
    <w:rsid w:val="00134B88"/>
    <w:rsid w:val="00134C90"/>
    <w:rsid w:val="001350F4"/>
    <w:rsid w:val="001357D9"/>
    <w:rsid w:val="0013592F"/>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DB4"/>
    <w:rsid w:val="00144E32"/>
    <w:rsid w:val="00145408"/>
    <w:rsid w:val="00145452"/>
    <w:rsid w:val="001459F8"/>
    <w:rsid w:val="00145AD4"/>
    <w:rsid w:val="00145C74"/>
    <w:rsid w:val="001462E9"/>
    <w:rsid w:val="0014666B"/>
    <w:rsid w:val="001467D5"/>
    <w:rsid w:val="00146E32"/>
    <w:rsid w:val="00146E6B"/>
    <w:rsid w:val="0014708B"/>
    <w:rsid w:val="00147E3C"/>
    <w:rsid w:val="00147F7E"/>
    <w:rsid w:val="00150AE1"/>
    <w:rsid w:val="00150EAF"/>
    <w:rsid w:val="00151249"/>
    <w:rsid w:val="00151619"/>
    <w:rsid w:val="00151840"/>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F80"/>
    <w:rsid w:val="00160FCE"/>
    <w:rsid w:val="001611CD"/>
    <w:rsid w:val="0016138D"/>
    <w:rsid w:val="00161441"/>
    <w:rsid w:val="001617EE"/>
    <w:rsid w:val="00162517"/>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A5"/>
    <w:rsid w:val="00171143"/>
    <w:rsid w:val="001711AC"/>
    <w:rsid w:val="0017230B"/>
    <w:rsid w:val="0017280B"/>
    <w:rsid w:val="00172864"/>
    <w:rsid w:val="00172A27"/>
    <w:rsid w:val="00172B82"/>
    <w:rsid w:val="00172EFA"/>
    <w:rsid w:val="0017338B"/>
    <w:rsid w:val="001733D2"/>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4A6"/>
    <w:rsid w:val="00180521"/>
    <w:rsid w:val="0018067A"/>
    <w:rsid w:val="001807E9"/>
    <w:rsid w:val="001808A2"/>
    <w:rsid w:val="00180A64"/>
    <w:rsid w:val="00180A74"/>
    <w:rsid w:val="00180BD9"/>
    <w:rsid w:val="00181068"/>
    <w:rsid w:val="001810B3"/>
    <w:rsid w:val="001814C4"/>
    <w:rsid w:val="001815A2"/>
    <w:rsid w:val="00181C77"/>
    <w:rsid w:val="00181FC1"/>
    <w:rsid w:val="00182361"/>
    <w:rsid w:val="001827DF"/>
    <w:rsid w:val="00183034"/>
    <w:rsid w:val="001830F7"/>
    <w:rsid w:val="001837C5"/>
    <w:rsid w:val="00183A53"/>
    <w:rsid w:val="00183AB2"/>
    <w:rsid w:val="00183B2C"/>
    <w:rsid w:val="00183B90"/>
    <w:rsid w:val="00183EE6"/>
    <w:rsid w:val="0018446D"/>
    <w:rsid w:val="0018447F"/>
    <w:rsid w:val="00184CE1"/>
    <w:rsid w:val="00184EFE"/>
    <w:rsid w:val="001853BF"/>
    <w:rsid w:val="0018588A"/>
    <w:rsid w:val="00186549"/>
    <w:rsid w:val="001865D5"/>
    <w:rsid w:val="00186878"/>
    <w:rsid w:val="001869A8"/>
    <w:rsid w:val="00186ED1"/>
    <w:rsid w:val="00187252"/>
    <w:rsid w:val="0018767A"/>
    <w:rsid w:val="00187952"/>
    <w:rsid w:val="00187A91"/>
    <w:rsid w:val="00187AFB"/>
    <w:rsid w:val="00187DF8"/>
    <w:rsid w:val="0019018D"/>
    <w:rsid w:val="00190649"/>
    <w:rsid w:val="0019065E"/>
    <w:rsid w:val="001908FA"/>
    <w:rsid w:val="00190924"/>
    <w:rsid w:val="00190ECA"/>
    <w:rsid w:val="001913B0"/>
    <w:rsid w:val="00191869"/>
    <w:rsid w:val="00191C91"/>
    <w:rsid w:val="00192015"/>
    <w:rsid w:val="00192568"/>
    <w:rsid w:val="001927D0"/>
    <w:rsid w:val="00192DD9"/>
    <w:rsid w:val="00192FA7"/>
    <w:rsid w:val="001938B8"/>
    <w:rsid w:val="00193C6F"/>
    <w:rsid w:val="00194339"/>
    <w:rsid w:val="00194392"/>
    <w:rsid w:val="00194848"/>
    <w:rsid w:val="00194ACA"/>
    <w:rsid w:val="00194D94"/>
    <w:rsid w:val="00194F00"/>
    <w:rsid w:val="0019533B"/>
    <w:rsid w:val="00195524"/>
    <w:rsid w:val="001956ED"/>
    <w:rsid w:val="00195843"/>
    <w:rsid w:val="001958EA"/>
    <w:rsid w:val="00195E0E"/>
    <w:rsid w:val="00195E4C"/>
    <w:rsid w:val="00195E9E"/>
    <w:rsid w:val="00195F55"/>
    <w:rsid w:val="001962B4"/>
    <w:rsid w:val="00196308"/>
    <w:rsid w:val="00196526"/>
    <w:rsid w:val="00196580"/>
    <w:rsid w:val="001974BE"/>
    <w:rsid w:val="00197590"/>
    <w:rsid w:val="0019766F"/>
    <w:rsid w:val="001978DE"/>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7"/>
    <w:rsid w:val="001A4225"/>
    <w:rsid w:val="001A4261"/>
    <w:rsid w:val="001A42A1"/>
    <w:rsid w:val="001A4670"/>
    <w:rsid w:val="001A4871"/>
    <w:rsid w:val="001A48BF"/>
    <w:rsid w:val="001A4A90"/>
    <w:rsid w:val="001A51F4"/>
    <w:rsid w:val="001A586D"/>
    <w:rsid w:val="001A5D29"/>
    <w:rsid w:val="001A63A5"/>
    <w:rsid w:val="001A64C0"/>
    <w:rsid w:val="001A6508"/>
    <w:rsid w:val="001A65C5"/>
    <w:rsid w:val="001A673E"/>
    <w:rsid w:val="001A678E"/>
    <w:rsid w:val="001A688B"/>
    <w:rsid w:val="001A6A85"/>
    <w:rsid w:val="001A6F91"/>
    <w:rsid w:val="001A7763"/>
    <w:rsid w:val="001A77E1"/>
    <w:rsid w:val="001A784E"/>
    <w:rsid w:val="001B03F2"/>
    <w:rsid w:val="001B0B15"/>
    <w:rsid w:val="001B0CF6"/>
    <w:rsid w:val="001B0E0B"/>
    <w:rsid w:val="001B1120"/>
    <w:rsid w:val="001B138C"/>
    <w:rsid w:val="001B15EE"/>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7385"/>
    <w:rsid w:val="001B747B"/>
    <w:rsid w:val="001B7893"/>
    <w:rsid w:val="001C02D8"/>
    <w:rsid w:val="001C02E3"/>
    <w:rsid w:val="001C04E3"/>
    <w:rsid w:val="001C1880"/>
    <w:rsid w:val="001C1A13"/>
    <w:rsid w:val="001C1C8E"/>
    <w:rsid w:val="001C2378"/>
    <w:rsid w:val="001C294A"/>
    <w:rsid w:val="001C2A47"/>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2360"/>
    <w:rsid w:val="001D2808"/>
    <w:rsid w:val="001D2CE1"/>
    <w:rsid w:val="001D2FDE"/>
    <w:rsid w:val="001D3109"/>
    <w:rsid w:val="001D31C6"/>
    <w:rsid w:val="001D332E"/>
    <w:rsid w:val="001D334F"/>
    <w:rsid w:val="001D37B4"/>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85C"/>
    <w:rsid w:val="001D7E73"/>
    <w:rsid w:val="001D7F0A"/>
    <w:rsid w:val="001E05C3"/>
    <w:rsid w:val="001E07F5"/>
    <w:rsid w:val="001E08D6"/>
    <w:rsid w:val="001E09D8"/>
    <w:rsid w:val="001E0AD3"/>
    <w:rsid w:val="001E0D78"/>
    <w:rsid w:val="001E14B4"/>
    <w:rsid w:val="001E1A7A"/>
    <w:rsid w:val="001E1DDD"/>
    <w:rsid w:val="001E27C5"/>
    <w:rsid w:val="001E27F9"/>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B45"/>
    <w:rsid w:val="001E5C23"/>
    <w:rsid w:val="001E653C"/>
    <w:rsid w:val="001E65E6"/>
    <w:rsid w:val="001E69E6"/>
    <w:rsid w:val="001E6BCA"/>
    <w:rsid w:val="001E6F30"/>
    <w:rsid w:val="001E7504"/>
    <w:rsid w:val="001E76DF"/>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545"/>
    <w:rsid w:val="001F55C8"/>
    <w:rsid w:val="001F5777"/>
    <w:rsid w:val="001F5801"/>
    <w:rsid w:val="001F5937"/>
    <w:rsid w:val="001F59E3"/>
    <w:rsid w:val="001F59ED"/>
    <w:rsid w:val="001F5C2B"/>
    <w:rsid w:val="001F5D73"/>
    <w:rsid w:val="001F5E1D"/>
    <w:rsid w:val="001F65A9"/>
    <w:rsid w:val="001F665E"/>
    <w:rsid w:val="001F6BC8"/>
    <w:rsid w:val="001F6D3B"/>
    <w:rsid w:val="001F70A4"/>
    <w:rsid w:val="001F7121"/>
    <w:rsid w:val="001F7982"/>
    <w:rsid w:val="001F7C9D"/>
    <w:rsid w:val="001F7CF1"/>
    <w:rsid w:val="002000A0"/>
    <w:rsid w:val="00200322"/>
    <w:rsid w:val="0020050C"/>
    <w:rsid w:val="002005AA"/>
    <w:rsid w:val="00200A31"/>
    <w:rsid w:val="00200D2C"/>
    <w:rsid w:val="00201368"/>
    <w:rsid w:val="00201922"/>
    <w:rsid w:val="002019D8"/>
    <w:rsid w:val="00201D0D"/>
    <w:rsid w:val="00201EC7"/>
    <w:rsid w:val="00201FE9"/>
    <w:rsid w:val="00202037"/>
    <w:rsid w:val="002024D6"/>
    <w:rsid w:val="0020264C"/>
    <w:rsid w:val="00202C59"/>
    <w:rsid w:val="00202E0B"/>
    <w:rsid w:val="00202F12"/>
    <w:rsid w:val="00202F30"/>
    <w:rsid w:val="00203019"/>
    <w:rsid w:val="002032FC"/>
    <w:rsid w:val="0020349A"/>
    <w:rsid w:val="002034B4"/>
    <w:rsid w:val="00204032"/>
    <w:rsid w:val="0020420C"/>
    <w:rsid w:val="00204BAD"/>
    <w:rsid w:val="00204D60"/>
    <w:rsid w:val="002053A8"/>
    <w:rsid w:val="00205627"/>
    <w:rsid w:val="002056D0"/>
    <w:rsid w:val="00205883"/>
    <w:rsid w:val="00205AF3"/>
    <w:rsid w:val="00205D7C"/>
    <w:rsid w:val="00205E76"/>
    <w:rsid w:val="00205E9F"/>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A5"/>
    <w:rsid w:val="0021268F"/>
    <w:rsid w:val="002127D0"/>
    <w:rsid w:val="00212862"/>
    <w:rsid w:val="00212B65"/>
    <w:rsid w:val="00212CB6"/>
    <w:rsid w:val="00212E37"/>
    <w:rsid w:val="00212E88"/>
    <w:rsid w:val="002131CF"/>
    <w:rsid w:val="00213206"/>
    <w:rsid w:val="002132B9"/>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617A"/>
    <w:rsid w:val="002163DB"/>
    <w:rsid w:val="0021646A"/>
    <w:rsid w:val="00217014"/>
    <w:rsid w:val="00217544"/>
    <w:rsid w:val="002178AF"/>
    <w:rsid w:val="0022047B"/>
    <w:rsid w:val="00220894"/>
    <w:rsid w:val="00221FE7"/>
    <w:rsid w:val="0022212A"/>
    <w:rsid w:val="00222523"/>
    <w:rsid w:val="00222965"/>
    <w:rsid w:val="002229DA"/>
    <w:rsid w:val="00222CBF"/>
    <w:rsid w:val="00222E0E"/>
    <w:rsid w:val="0022315E"/>
    <w:rsid w:val="002232F6"/>
    <w:rsid w:val="002234AB"/>
    <w:rsid w:val="002235CB"/>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993"/>
    <w:rsid w:val="00230B59"/>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54"/>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28F"/>
    <w:rsid w:val="00253588"/>
    <w:rsid w:val="0025407D"/>
    <w:rsid w:val="002546F4"/>
    <w:rsid w:val="002548DE"/>
    <w:rsid w:val="00254A5B"/>
    <w:rsid w:val="002551D0"/>
    <w:rsid w:val="00255230"/>
    <w:rsid w:val="00255374"/>
    <w:rsid w:val="002554F5"/>
    <w:rsid w:val="00255672"/>
    <w:rsid w:val="002559E8"/>
    <w:rsid w:val="00255A7D"/>
    <w:rsid w:val="00256010"/>
    <w:rsid w:val="00256076"/>
    <w:rsid w:val="00256153"/>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22D"/>
    <w:rsid w:val="00263875"/>
    <w:rsid w:val="00263B11"/>
    <w:rsid w:val="00263ED2"/>
    <w:rsid w:val="002647BF"/>
    <w:rsid w:val="002647D5"/>
    <w:rsid w:val="0026488D"/>
    <w:rsid w:val="002648C3"/>
    <w:rsid w:val="00265032"/>
    <w:rsid w:val="002651FB"/>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A"/>
    <w:rsid w:val="00270D42"/>
    <w:rsid w:val="0027149C"/>
    <w:rsid w:val="00271577"/>
    <w:rsid w:val="00271764"/>
    <w:rsid w:val="00271943"/>
    <w:rsid w:val="0027195D"/>
    <w:rsid w:val="00271CB6"/>
    <w:rsid w:val="00271D07"/>
    <w:rsid w:val="002721CF"/>
    <w:rsid w:val="00272556"/>
    <w:rsid w:val="00272594"/>
    <w:rsid w:val="002726D8"/>
    <w:rsid w:val="00272A0E"/>
    <w:rsid w:val="00272ADD"/>
    <w:rsid w:val="00272B03"/>
    <w:rsid w:val="00272C04"/>
    <w:rsid w:val="002732BE"/>
    <w:rsid w:val="002733E2"/>
    <w:rsid w:val="00273B99"/>
    <w:rsid w:val="00273C30"/>
    <w:rsid w:val="00273D64"/>
    <w:rsid w:val="00273EFE"/>
    <w:rsid w:val="00273FDE"/>
    <w:rsid w:val="002741A2"/>
    <w:rsid w:val="0027498E"/>
    <w:rsid w:val="002749D7"/>
    <w:rsid w:val="00274A1C"/>
    <w:rsid w:val="00274FF1"/>
    <w:rsid w:val="002750B1"/>
    <w:rsid w:val="0027531B"/>
    <w:rsid w:val="0027545F"/>
    <w:rsid w:val="0027562D"/>
    <w:rsid w:val="00275726"/>
    <w:rsid w:val="002759BD"/>
    <w:rsid w:val="00275A79"/>
    <w:rsid w:val="00275B35"/>
    <w:rsid w:val="00275BDE"/>
    <w:rsid w:val="00276590"/>
    <w:rsid w:val="0027674A"/>
    <w:rsid w:val="00276A35"/>
    <w:rsid w:val="00276E88"/>
    <w:rsid w:val="00277356"/>
    <w:rsid w:val="002777E6"/>
    <w:rsid w:val="00277835"/>
    <w:rsid w:val="002778B7"/>
    <w:rsid w:val="0027790B"/>
    <w:rsid w:val="00280057"/>
    <w:rsid w:val="00280AB1"/>
    <w:rsid w:val="00281396"/>
    <w:rsid w:val="002813F3"/>
    <w:rsid w:val="00281411"/>
    <w:rsid w:val="002814F6"/>
    <w:rsid w:val="00281681"/>
    <w:rsid w:val="002817CD"/>
    <w:rsid w:val="00282453"/>
    <w:rsid w:val="00282727"/>
    <w:rsid w:val="002828B8"/>
    <w:rsid w:val="00282EA6"/>
    <w:rsid w:val="0028319F"/>
    <w:rsid w:val="0028335C"/>
    <w:rsid w:val="0028375B"/>
    <w:rsid w:val="00283B1D"/>
    <w:rsid w:val="00283D0D"/>
    <w:rsid w:val="00284B55"/>
    <w:rsid w:val="00284BAE"/>
    <w:rsid w:val="002855D3"/>
    <w:rsid w:val="00285793"/>
    <w:rsid w:val="002859AF"/>
    <w:rsid w:val="00285DE4"/>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B30"/>
    <w:rsid w:val="00291CDA"/>
    <w:rsid w:val="00291E34"/>
    <w:rsid w:val="002921A0"/>
    <w:rsid w:val="0029237F"/>
    <w:rsid w:val="00292715"/>
    <w:rsid w:val="00292E62"/>
    <w:rsid w:val="00292E81"/>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10A"/>
    <w:rsid w:val="002A0259"/>
    <w:rsid w:val="002A0301"/>
    <w:rsid w:val="002A08ED"/>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99C"/>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51"/>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16B"/>
    <w:rsid w:val="002C31E4"/>
    <w:rsid w:val="002C3354"/>
    <w:rsid w:val="002C35B8"/>
    <w:rsid w:val="002C35E0"/>
    <w:rsid w:val="002C38B2"/>
    <w:rsid w:val="002C3F9C"/>
    <w:rsid w:val="002C4868"/>
    <w:rsid w:val="002C4C3F"/>
    <w:rsid w:val="002C4FB7"/>
    <w:rsid w:val="002C5227"/>
    <w:rsid w:val="002C5381"/>
    <w:rsid w:val="002C5AFA"/>
    <w:rsid w:val="002C5C57"/>
    <w:rsid w:val="002C5C7D"/>
    <w:rsid w:val="002C5DFF"/>
    <w:rsid w:val="002C5E25"/>
    <w:rsid w:val="002C7553"/>
    <w:rsid w:val="002C78A7"/>
    <w:rsid w:val="002C7976"/>
    <w:rsid w:val="002C7E45"/>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765"/>
    <w:rsid w:val="002D4EE8"/>
    <w:rsid w:val="002D4F75"/>
    <w:rsid w:val="002D512C"/>
    <w:rsid w:val="002D538B"/>
    <w:rsid w:val="002D55F5"/>
    <w:rsid w:val="002D5675"/>
    <w:rsid w:val="002D56D5"/>
    <w:rsid w:val="002D5738"/>
    <w:rsid w:val="002D5B60"/>
    <w:rsid w:val="002D5BB9"/>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F0483"/>
    <w:rsid w:val="002F09BC"/>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DCC"/>
    <w:rsid w:val="002F71FE"/>
    <w:rsid w:val="002F7292"/>
    <w:rsid w:val="002F74A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3104"/>
    <w:rsid w:val="003033CC"/>
    <w:rsid w:val="00303440"/>
    <w:rsid w:val="0030366D"/>
    <w:rsid w:val="003038D9"/>
    <w:rsid w:val="003039F8"/>
    <w:rsid w:val="00304377"/>
    <w:rsid w:val="003043A4"/>
    <w:rsid w:val="00304D9B"/>
    <w:rsid w:val="00305079"/>
    <w:rsid w:val="003057F7"/>
    <w:rsid w:val="003058F8"/>
    <w:rsid w:val="00305FF9"/>
    <w:rsid w:val="00306604"/>
    <w:rsid w:val="00306752"/>
    <w:rsid w:val="00306B39"/>
    <w:rsid w:val="00306C36"/>
    <w:rsid w:val="00306CD1"/>
    <w:rsid w:val="00306D39"/>
    <w:rsid w:val="00306E3C"/>
    <w:rsid w:val="00306E6B"/>
    <w:rsid w:val="00306ECB"/>
    <w:rsid w:val="003072F2"/>
    <w:rsid w:val="003074A6"/>
    <w:rsid w:val="003077F5"/>
    <w:rsid w:val="00307D0D"/>
    <w:rsid w:val="003100C8"/>
    <w:rsid w:val="003101A5"/>
    <w:rsid w:val="00310475"/>
    <w:rsid w:val="0031052B"/>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99C"/>
    <w:rsid w:val="00314AE5"/>
    <w:rsid w:val="00314CDE"/>
    <w:rsid w:val="00314D42"/>
    <w:rsid w:val="003152D7"/>
    <w:rsid w:val="0031541C"/>
    <w:rsid w:val="0031563E"/>
    <w:rsid w:val="00315704"/>
    <w:rsid w:val="00315A78"/>
    <w:rsid w:val="00315B9F"/>
    <w:rsid w:val="00315F62"/>
    <w:rsid w:val="00315F8A"/>
    <w:rsid w:val="003160E7"/>
    <w:rsid w:val="003163DF"/>
    <w:rsid w:val="00316479"/>
    <w:rsid w:val="003164A5"/>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7677"/>
    <w:rsid w:val="00327BFC"/>
    <w:rsid w:val="00327DCA"/>
    <w:rsid w:val="00327F58"/>
    <w:rsid w:val="003307E5"/>
    <w:rsid w:val="00330D5B"/>
    <w:rsid w:val="00331116"/>
    <w:rsid w:val="0033122E"/>
    <w:rsid w:val="00331426"/>
    <w:rsid w:val="0033171D"/>
    <w:rsid w:val="00331FC3"/>
    <w:rsid w:val="00332138"/>
    <w:rsid w:val="00332773"/>
    <w:rsid w:val="00332B51"/>
    <w:rsid w:val="00332E0C"/>
    <w:rsid w:val="0033361D"/>
    <w:rsid w:val="003336B3"/>
    <w:rsid w:val="0033394F"/>
    <w:rsid w:val="00333F04"/>
    <w:rsid w:val="00334081"/>
    <w:rsid w:val="00334406"/>
    <w:rsid w:val="003344AF"/>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F7F"/>
    <w:rsid w:val="00347395"/>
    <w:rsid w:val="0034775C"/>
    <w:rsid w:val="003478FF"/>
    <w:rsid w:val="00347DBC"/>
    <w:rsid w:val="00347DC4"/>
    <w:rsid w:val="00350108"/>
    <w:rsid w:val="00350740"/>
    <w:rsid w:val="00350762"/>
    <w:rsid w:val="003507C4"/>
    <w:rsid w:val="00350C39"/>
    <w:rsid w:val="00350D70"/>
    <w:rsid w:val="00350DCA"/>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D8"/>
    <w:rsid w:val="00354C56"/>
    <w:rsid w:val="00355425"/>
    <w:rsid w:val="003554CA"/>
    <w:rsid w:val="0035621F"/>
    <w:rsid w:val="003563C8"/>
    <w:rsid w:val="003563D9"/>
    <w:rsid w:val="003565EA"/>
    <w:rsid w:val="00356A9A"/>
    <w:rsid w:val="00356CB3"/>
    <w:rsid w:val="00357042"/>
    <w:rsid w:val="0035749D"/>
    <w:rsid w:val="00357581"/>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EEB"/>
    <w:rsid w:val="003770BB"/>
    <w:rsid w:val="003775D0"/>
    <w:rsid w:val="0037765B"/>
    <w:rsid w:val="0037771A"/>
    <w:rsid w:val="00377DC5"/>
    <w:rsid w:val="00377F77"/>
    <w:rsid w:val="003802DC"/>
    <w:rsid w:val="003806FB"/>
    <w:rsid w:val="00380E4E"/>
    <w:rsid w:val="00380EA9"/>
    <w:rsid w:val="00380FBF"/>
    <w:rsid w:val="0038165B"/>
    <w:rsid w:val="00381DDB"/>
    <w:rsid w:val="00382071"/>
    <w:rsid w:val="003821CE"/>
    <w:rsid w:val="003827E9"/>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EF"/>
    <w:rsid w:val="00386A18"/>
    <w:rsid w:val="00386BA9"/>
    <w:rsid w:val="00387747"/>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2D34"/>
    <w:rsid w:val="00392F65"/>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6549"/>
    <w:rsid w:val="00396C39"/>
    <w:rsid w:val="00397377"/>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B84"/>
    <w:rsid w:val="003C3BA6"/>
    <w:rsid w:val="003C4208"/>
    <w:rsid w:val="003C435D"/>
    <w:rsid w:val="003C4890"/>
    <w:rsid w:val="003C4AFA"/>
    <w:rsid w:val="003C4F70"/>
    <w:rsid w:val="003C4FAC"/>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23B5"/>
    <w:rsid w:val="003D2986"/>
    <w:rsid w:val="003D2C1D"/>
    <w:rsid w:val="003D2C34"/>
    <w:rsid w:val="003D3317"/>
    <w:rsid w:val="003D3534"/>
    <w:rsid w:val="003D37AD"/>
    <w:rsid w:val="003D38B6"/>
    <w:rsid w:val="003D3DDD"/>
    <w:rsid w:val="003D3F5E"/>
    <w:rsid w:val="003D40C5"/>
    <w:rsid w:val="003D40FF"/>
    <w:rsid w:val="003D4C6A"/>
    <w:rsid w:val="003D52C0"/>
    <w:rsid w:val="003D543E"/>
    <w:rsid w:val="003D58C5"/>
    <w:rsid w:val="003D5A35"/>
    <w:rsid w:val="003D5BBA"/>
    <w:rsid w:val="003D5CBF"/>
    <w:rsid w:val="003D636F"/>
    <w:rsid w:val="003D6570"/>
    <w:rsid w:val="003D65AA"/>
    <w:rsid w:val="003D66D2"/>
    <w:rsid w:val="003D6828"/>
    <w:rsid w:val="003D68BE"/>
    <w:rsid w:val="003D6A84"/>
    <w:rsid w:val="003D7395"/>
    <w:rsid w:val="003D74FD"/>
    <w:rsid w:val="003D778D"/>
    <w:rsid w:val="003D7B7F"/>
    <w:rsid w:val="003D7D70"/>
    <w:rsid w:val="003D7E3F"/>
    <w:rsid w:val="003D7E86"/>
    <w:rsid w:val="003E02C7"/>
    <w:rsid w:val="003E0357"/>
    <w:rsid w:val="003E0537"/>
    <w:rsid w:val="003E07AE"/>
    <w:rsid w:val="003E095E"/>
    <w:rsid w:val="003E09A0"/>
    <w:rsid w:val="003E09B2"/>
    <w:rsid w:val="003E0DE6"/>
    <w:rsid w:val="003E14F4"/>
    <w:rsid w:val="003E14FC"/>
    <w:rsid w:val="003E178C"/>
    <w:rsid w:val="003E1AC5"/>
    <w:rsid w:val="003E1D74"/>
    <w:rsid w:val="003E2976"/>
    <w:rsid w:val="003E2FC2"/>
    <w:rsid w:val="003E34C5"/>
    <w:rsid w:val="003E3E94"/>
    <w:rsid w:val="003E42FC"/>
    <w:rsid w:val="003E4858"/>
    <w:rsid w:val="003E4A17"/>
    <w:rsid w:val="003E4C20"/>
    <w:rsid w:val="003E4D67"/>
    <w:rsid w:val="003E4E2F"/>
    <w:rsid w:val="003E5038"/>
    <w:rsid w:val="003E5147"/>
    <w:rsid w:val="003E52F9"/>
    <w:rsid w:val="003E5AA3"/>
    <w:rsid w:val="003E5AA8"/>
    <w:rsid w:val="003E5E8C"/>
    <w:rsid w:val="003E6316"/>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5604"/>
    <w:rsid w:val="003F63DB"/>
    <w:rsid w:val="003F6486"/>
    <w:rsid w:val="003F64B2"/>
    <w:rsid w:val="003F65C7"/>
    <w:rsid w:val="003F6CD2"/>
    <w:rsid w:val="003F702D"/>
    <w:rsid w:val="003F77F9"/>
    <w:rsid w:val="003F788D"/>
    <w:rsid w:val="003F7A97"/>
    <w:rsid w:val="003F7AB0"/>
    <w:rsid w:val="003F7C5A"/>
    <w:rsid w:val="003F7D78"/>
    <w:rsid w:val="003F7E32"/>
    <w:rsid w:val="00400377"/>
    <w:rsid w:val="00400401"/>
    <w:rsid w:val="004007A3"/>
    <w:rsid w:val="00400ADD"/>
    <w:rsid w:val="00400F5E"/>
    <w:rsid w:val="004010D9"/>
    <w:rsid w:val="00401197"/>
    <w:rsid w:val="0040126E"/>
    <w:rsid w:val="00401394"/>
    <w:rsid w:val="004017F8"/>
    <w:rsid w:val="004020D4"/>
    <w:rsid w:val="004021B6"/>
    <w:rsid w:val="0040238F"/>
    <w:rsid w:val="00402FE4"/>
    <w:rsid w:val="0040316B"/>
    <w:rsid w:val="0040352C"/>
    <w:rsid w:val="004036AB"/>
    <w:rsid w:val="00403845"/>
    <w:rsid w:val="004038D2"/>
    <w:rsid w:val="00403968"/>
    <w:rsid w:val="0040404C"/>
    <w:rsid w:val="004041D9"/>
    <w:rsid w:val="0040438E"/>
    <w:rsid w:val="00404491"/>
    <w:rsid w:val="0040452F"/>
    <w:rsid w:val="00404626"/>
    <w:rsid w:val="00404795"/>
    <w:rsid w:val="004047C4"/>
    <w:rsid w:val="0040488A"/>
    <w:rsid w:val="00404CCC"/>
    <w:rsid w:val="00404D38"/>
    <w:rsid w:val="00404DB1"/>
    <w:rsid w:val="00404F22"/>
    <w:rsid w:val="0040512D"/>
    <w:rsid w:val="00405426"/>
    <w:rsid w:val="004055BF"/>
    <w:rsid w:val="0040560C"/>
    <w:rsid w:val="0040570B"/>
    <w:rsid w:val="00405B13"/>
    <w:rsid w:val="00405C2B"/>
    <w:rsid w:val="00405CC6"/>
    <w:rsid w:val="00405E00"/>
    <w:rsid w:val="00405E82"/>
    <w:rsid w:val="00405EDB"/>
    <w:rsid w:val="00405FB1"/>
    <w:rsid w:val="0040612E"/>
    <w:rsid w:val="004063F2"/>
    <w:rsid w:val="00406460"/>
    <w:rsid w:val="00406539"/>
    <w:rsid w:val="00406817"/>
    <w:rsid w:val="00406921"/>
    <w:rsid w:val="00406DD3"/>
    <w:rsid w:val="00406E58"/>
    <w:rsid w:val="00406F1F"/>
    <w:rsid w:val="00407213"/>
    <w:rsid w:val="0040749D"/>
    <w:rsid w:val="0040765F"/>
    <w:rsid w:val="004078A3"/>
    <w:rsid w:val="004079EE"/>
    <w:rsid w:val="00407F5D"/>
    <w:rsid w:val="00410078"/>
    <w:rsid w:val="00410161"/>
    <w:rsid w:val="0041019A"/>
    <w:rsid w:val="00410306"/>
    <w:rsid w:val="0041060C"/>
    <w:rsid w:val="00410EF3"/>
    <w:rsid w:val="004110B2"/>
    <w:rsid w:val="0041123E"/>
    <w:rsid w:val="00411548"/>
    <w:rsid w:val="004116C8"/>
    <w:rsid w:val="00411ED1"/>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13"/>
    <w:rsid w:val="0041737A"/>
    <w:rsid w:val="00417B1E"/>
    <w:rsid w:val="00417C9B"/>
    <w:rsid w:val="00417E41"/>
    <w:rsid w:val="00417E6A"/>
    <w:rsid w:val="00420785"/>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57D"/>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6BB"/>
    <w:rsid w:val="004606FE"/>
    <w:rsid w:val="004609D1"/>
    <w:rsid w:val="00460B35"/>
    <w:rsid w:val="00460CC3"/>
    <w:rsid w:val="00460D47"/>
    <w:rsid w:val="00460E86"/>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C10"/>
    <w:rsid w:val="004721A4"/>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5285"/>
    <w:rsid w:val="004752D3"/>
    <w:rsid w:val="004754DD"/>
    <w:rsid w:val="004754E1"/>
    <w:rsid w:val="00475670"/>
    <w:rsid w:val="00475CE0"/>
    <w:rsid w:val="00475E17"/>
    <w:rsid w:val="00475EBA"/>
    <w:rsid w:val="00476207"/>
    <w:rsid w:val="0047650E"/>
    <w:rsid w:val="00476648"/>
    <w:rsid w:val="00476827"/>
    <w:rsid w:val="00476BD4"/>
    <w:rsid w:val="004771C9"/>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9D"/>
    <w:rsid w:val="0048429C"/>
    <w:rsid w:val="004846A8"/>
    <w:rsid w:val="004848A5"/>
    <w:rsid w:val="00484A77"/>
    <w:rsid w:val="00484C84"/>
    <w:rsid w:val="00484CA6"/>
    <w:rsid w:val="0048540F"/>
    <w:rsid w:val="00485479"/>
    <w:rsid w:val="00485970"/>
    <w:rsid w:val="00485ADA"/>
    <w:rsid w:val="00485BDA"/>
    <w:rsid w:val="00485C0D"/>
    <w:rsid w:val="00486161"/>
    <w:rsid w:val="00486575"/>
    <w:rsid w:val="004866AD"/>
    <w:rsid w:val="004866D0"/>
    <w:rsid w:val="004870DF"/>
    <w:rsid w:val="0048727C"/>
    <w:rsid w:val="004872A2"/>
    <w:rsid w:val="00490032"/>
    <w:rsid w:val="00490EAB"/>
    <w:rsid w:val="00491202"/>
    <w:rsid w:val="0049145D"/>
    <w:rsid w:val="004918A0"/>
    <w:rsid w:val="00491C47"/>
    <w:rsid w:val="00492041"/>
    <w:rsid w:val="00492195"/>
    <w:rsid w:val="00492453"/>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4C0"/>
    <w:rsid w:val="004A1B08"/>
    <w:rsid w:val="004A1C9F"/>
    <w:rsid w:val="004A218B"/>
    <w:rsid w:val="004A22B3"/>
    <w:rsid w:val="004A251F"/>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6024"/>
    <w:rsid w:val="004A6134"/>
    <w:rsid w:val="004A6143"/>
    <w:rsid w:val="004A681E"/>
    <w:rsid w:val="004A6BFC"/>
    <w:rsid w:val="004A6C0C"/>
    <w:rsid w:val="004A6D98"/>
    <w:rsid w:val="004A7092"/>
    <w:rsid w:val="004A74B8"/>
    <w:rsid w:val="004A793F"/>
    <w:rsid w:val="004A7FD9"/>
    <w:rsid w:val="004B1178"/>
    <w:rsid w:val="004B13AF"/>
    <w:rsid w:val="004B17D3"/>
    <w:rsid w:val="004B18B1"/>
    <w:rsid w:val="004B18D7"/>
    <w:rsid w:val="004B1C2D"/>
    <w:rsid w:val="004B244F"/>
    <w:rsid w:val="004B2DFC"/>
    <w:rsid w:val="004B349E"/>
    <w:rsid w:val="004B3802"/>
    <w:rsid w:val="004B3A23"/>
    <w:rsid w:val="004B3A4E"/>
    <w:rsid w:val="004B40D1"/>
    <w:rsid w:val="004B4904"/>
    <w:rsid w:val="004B49E6"/>
    <w:rsid w:val="004B4D69"/>
    <w:rsid w:val="004B4DD4"/>
    <w:rsid w:val="004B4E59"/>
    <w:rsid w:val="004B4EE9"/>
    <w:rsid w:val="004B500E"/>
    <w:rsid w:val="004B50FC"/>
    <w:rsid w:val="004B51BC"/>
    <w:rsid w:val="004B5273"/>
    <w:rsid w:val="004B5869"/>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31B6"/>
    <w:rsid w:val="004C33BC"/>
    <w:rsid w:val="004C36EE"/>
    <w:rsid w:val="004C37FA"/>
    <w:rsid w:val="004C38B3"/>
    <w:rsid w:val="004C414A"/>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B5B"/>
    <w:rsid w:val="004D1D1C"/>
    <w:rsid w:val="004D1D91"/>
    <w:rsid w:val="004D1F71"/>
    <w:rsid w:val="004D22C3"/>
    <w:rsid w:val="004D2769"/>
    <w:rsid w:val="004D2F49"/>
    <w:rsid w:val="004D391F"/>
    <w:rsid w:val="004D393B"/>
    <w:rsid w:val="004D41DE"/>
    <w:rsid w:val="004D42DF"/>
    <w:rsid w:val="004D4605"/>
    <w:rsid w:val="004D4841"/>
    <w:rsid w:val="004D4AA1"/>
    <w:rsid w:val="004D4B45"/>
    <w:rsid w:val="004D4EE1"/>
    <w:rsid w:val="004D52B2"/>
    <w:rsid w:val="004D560D"/>
    <w:rsid w:val="004D56F0"/>
    <w:rsid w:val="004D5753"/>
    <w:rsid w:val="004D614E"/>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E91"/>
    <w:rsid w:val="004D7F2F"/>
    <w:rsid w:val="004D7F8C"/>
    <w:rsid w:val="004E003A"/>
    <w:rsid w:val="004E0768"/>
    <w:rsid w:val="004E0930"/>
    <w:rsid w:val="004E0A2E"/>
    <w:rsid w:val="004E0BD8"/>
    <w:rsid w:val="004E1883"/>
    <w:rsid w:val="004E1A31"/>
    <w:rsid w:val="004E2305"/>
    <w:rsid w:val="004E29F1"/>
    <w:rsid w:val="004E2CC5"/>
    <w:rsid w:val="004E2D25"/>
    <w:rsid w:val="004E2DE0"/>
    <w:rsid w:val="004E327D"/>
    <w:rsid w:val="004E32FF"/>
    <w:rsid w:val="004E352D"/>
    <w:rsid w:val="004E38EB"/>
    <w:rsid w:val="004E3B9C"/>
    <w:rsid w:val="004E3BFE"/>
    <w:rsid w:val="004E3DFF"/>
    <w:rsid w:val="004E4060"/>
    <w:rsid w:val="004E409A"/>
    <w:rsid w:val="004E43DD"/>
    <w:rsid w:val="004E4771"/>
    <w:rsid w:val="004E4D31"/>
    <w:rsid w:val="004E4E70"/>
    <w:rsid w:val="004E4EF2"/>
    <w:rsid w:val="004E5583"/>
    <w:rsid w:val="004E568F"/>
    <w:rsid w:val="004E570B"/>
    <w:rsid w:val="004E5B27"/>
    <w:rsid w:val="004E6010"/>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F20"/>
    <w:rsid w:val="004F642F"/>
    <w:rsid w:val="004F6576"/>
    <w:rsid w:val="004F68F6"/>
    <w:rsid w:val="004F6996"/>
    <w:rsid w:val="004F6FD4"/>
    <w:rsid w:val="004F7311"/>
    <w:rsid w:val="004F7528"/>
    <w:rsid w:val="004F7675"/>
    <w:rsid w:val="004F7856"/>
    <w:rsid w:val="004F7BCA"/>
    <w:rsid w:val="004F7C44"/>
    <w:rsid w:val="004F7D89"/>
    <w:rsid w:val="00500357"/>
    <w:rsid w:val="005006BE"/>
    <w:rsid w:val="00500934"/>
    <w:rsid w:val="0050123B"/>
    <w:rsid w:val="005013B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8B6"/>
    <w:rsid w:val="00521A00"/>
    <w:rsid w:val="00521F48"/>
    <w:rsid w:val="00522589"/>
    <w:rsid w:val="00522929"/>
    <w:rsid w:val="00522A33"/>
    <w:rsid w:val="005234B8"/>
    <w:rsid w:val="005237DF"/>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6C3"/>
    <w:rsid w:val="005408B9"/>
    <w:rsid w:val="00540C23"/>
    <w:rsid w:val="00540ECD"/>
    <w:rsid w:val="00541330"/>
    <w:rsid w:val="0054134A"/>
    <w:rsid w:val="00541B7B"/>
    <w:rsid w:val="00542087"/>
    <w:rsid w:val="00542484"/>
    <w:rsid w:val="005425FD"/>
    <w:rsid w:val="0054276C"/>
    <w:rsid w:val="00542976"/>
    <w:rsid w:val="00542A9D"/>
    <w:rsid w:val="00542B5E"/>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8E"/>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ADC"/>
    <w:rsid w:val="00560C64"/>
    <w:rsid w:val="00560D23"/>
    <w:rsid w:val="0056118D"/>
    <w:rsid w:val="005614F6"/>
    <w:rsid w:val="005615D8"/>
    <w:rsid w:val="00561822"/>
    <w:rsid w:val="00561B53"/>
    <w:rsid w:val="00561C7A"/>
    <w:rsid w:val="00561ECD"/>
    <w:rsid w:val="00562055"/>
    <w:rsid w:val="005626D6"/>
    <w:rsid w:val="00562E37"/>
    <w:rsid w:val="00563261"/>
    <w:rsid w:val="00563541"/>
    <w:rsid w:val="005637B4"/>
    <w:rsid w:val="005638D4"/>
    <w:rsid w:val="005639F8"/>
    <w:rsid w:val="00563B10"/>
    <w:rsid w:val="00563BCF"/>
    <w:rsid w:val="00563C43"/>
    <w:rsid w:val="00563F18"/>
    <w:rsid w:val="0056480D"/>
    <w:rsid w:val="00565644"/>
    <w:rsid w:val="005656ED"/>
    <w:rsid w:val="00565770"/>
    <w:rsid w:val="00565AFF"/>
    <w:rsid w:val="005660F5"/>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60"/>
    <w:rsid w:val="00573B62"/>
    <w:rsid w:val="00573C32"/>
    <w:rsid w:val="00573E5E"/>
    <w:rsid w:val="005742D8"/>
    <w:rsid w:val="005743DE"/>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0E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BC"/>
    <w:rsid w:val="005839C5"/>
    <w:rsid w:val="00583A2B"/>
    <w:rsid w:val="00584416"/>
    <w:rsid w:val="005844E4"/>
    <w:rsid w:val="005847F0"/>
    <w:rsid w:val="00584B39"/>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C8B"/>
    <w:rsid w:val="00586F2A"/>
    <w:rsid w:val="005870F0"/>
    <w:rsid w:val="0058735C"/>
    <w:rsid w:val="005873FB"/>
    <w:rsid w:val="005874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AB9"/>
    <w:rsid w:val="00593DBE"/>
    <w:rsid w:val="00593E67"/>
    <w:rsid w:val="00593EC0"/>
    <w:rsid w:val="00593F21"/>
    <w:rsid w:val="005940CB"/>
    <w:rsid w:val="0059427E"/>
    <w:rsid w:val="0059492F"/>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256"/>
    <w:rsid w:val="005B1660"/>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3DA5"/>
    <w:rsid w:val="005B42F1"/>
    <w:rsid w:val="005B48FB"/>
    <w:rsid w:val="005B49F8"/>
    <w:rsid w:val="005B4D3A"/>
    <w:rsid w:val="005B4D87"/>
    <w:rsid w:val="005B4EFF"/>
    <w:rsid w:val="005B5033"/>
    <w:rsid w:val="005B509D"/>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B45"/>
    <w:rsid w:val="005C7C75"/>
    <w:rsid w:val="005D0122"/>
    <w:rsid w:val="005D023C"/>
    <w:rsid w:val="005D044F"/>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EFA"/>
    <w:rsid w:val="005D5310"/>
    <w:rsid w:val="005D55BA"/>
    <w:rsid w:val="005D56D5"/>
    <w:rsid w:val="005D5ADB"/>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18D"/>
    <w:rsid w:val="005E524E"/>
    <w:rsid w:val="005E53F9"/>
    <w:rsid w:val="005E5C13"/>
    <w:rsid w:val="005E5D8F"/>
    <w:rsid w:val="005E60AF"/>
    <w:rsid w:val="005E62C0"/>
    <w:rsid w:val="005E66D1"/>
    <w:rsid w:val="005E6758"/>
    <w:rsid w:val="005E67DE"/>
    <w:rsid w:val="005E68A9"/>
    <w:rsid w:val="005E68E0"/>
    <w:rsid w:val="005E6D26"/>
    <w:rsid w:val="005E761D"/>
    <w:rsid w:val="005E775D"/>
    <w:rsid w:val="005E7ECE"/>
    <w:rsid w:val="005F0235"/>
    <w:rsid w:val="005F0A43"/>
    <w:rsid w:val="005F0B12"/>
    <w:rsid w:val="005F0BDB"/>
    <w:rsid w:val="005F0FDA"/>
    <w:rsid w:val="005F1085"/>
    <w:rsid w:val="005F1130"/>
    <w:rsid w:val="005F1353"/>
    <w:rsid w:val="005F187F"/>
    <w:rsid w:val="005F18EC"/>
    <w:rsid w:val="005F1953"/>
    <w:rsid w:val="005F1A29"/>
    <w:rsid w:val="005F1F41"/>
    <w:rsid w:val="005F20B6"/>
    <w:rsid w:val="005F27BF"/>
    <w:rsid w:val="005F2C88"/>
    <w:rsid w:val="005F2CA5"/>
    <w:rsid w:val="005F2CE2"/>
    <w:rsid w:val="005F314A"/>
    <w:rsid w:val="005F34F4"/>
    <w:rsid w:val="005F3811"/>
    <w:rsid w:val="005F396A"/>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F95"/>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CCE"/>
    <w:rsid w:val="00603ECF"/>
    <w:rsid w:val="00603ED5"/>
    <w:rsid w:val="00604451"/>
    <w:rsid w:val="006048C2"/>
    <w:rsid w:val="006049CF"/>
    <w:rsid w:val="00604DC7"/>
    <w:rsid w:val="00604DCA"/>
    <w:rsid w:val="00604E47"/>
    <w:rsid w:val="00605259"/>
    <w:rsid w:val="00605441"/>
    <w:rsid w:val="0060580B"/>
    <w:rsid w:val="00605CA8"/>
    <w:rsid w:val="00605E72"/>
    <w:rsid w:val="00606970"/>
    <w:rsid w:val="00606A20"/>
    <w:rsid w:val="00606C0B"/>
    <w:rsid w:val="006072A4"/>
    <w:rsid w:val="006072C6"/>
    <w:rsid w:val="0060736D"/>
    <w:rsid w:val="00607A2E"/>
    <w:rsid w:val="00607A48"/>
    <w:rsid w:val="00607EC4"/>
    <w:rsid w:val="00610248"/>
    <w:rsid w:val="00611128"/>
    <w:rsid w:val="006111FE"/>
    <w:rsid w:val="00611658"/>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E3"/>
    <w:rsid w:val="00615ADC"/>
    <w:rsid w:val="00615BD0"/>
    <w:rsid w:val="00615D13"/>
    <w:rsid w:val="00616112"/>
    <w:rsid w:val="00616238"/>
    <w:rsid w:val="006166AB"/>
    <w:rsid w:val="00616A58"/>
    <w:rsid w:val="00616E51"/>
    <w:rsid w:val="0061760D"/>
    <w:rsid w:val="0061762D"/>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E2A"/>
    <w:rsid w:val="00622FFC"/>
    <w:rsid w:val="00623021"/>
    <w:rsid w:val="00623089"/>
    <w:rsid w:val="0062308E"/>
    <w:rsid w:val="00623100"/>
    <w:rsid w:val="00623304"/>
    <w:rsid w:val="006234C4"/>
    <w:rsid w:val="00623542"/>
    <w:rsid w:val="00623665"/>
    <w:rsid w:val="00623B45"/>
    <w:rsid w:val="0062411C"/>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8"/>
    <w:rsid w:val="00632809"/>
    <w:rsid w:val="00632819"/>
    <w:rsid w:val="0063362D"/>
    <w:rsid w:val="00633BA8"/>
    <w:rsid w:val="00633EB9"/>
    <w:rsid w:val="00633EC5"/>
    <w:rsid w:val="00633FB9"/>
    <w:rsid w:val="0063427F"/>
    <w:rsid w:val="006346A2"/>
    <w:rsid w:val="00634ACF"/>
    <w:rsid w:val="00635035"/>
    <w:rsid w:val="00635063"/>
    <w:rsid w:val="006350D6"/>
    <w:rsid w:val="00635120"/>
    <w:rsid w:val="00635299"/>
    <w:rsid w:val="00635394"/>
    <w:rsid w:val="006357AC"/>
    <w:rsid w:val="0063580D"/>
    <w:rsid w:val="00635CAE"/>
    <w:rsid w:val="00635E18"/>
    <w:rsid w:val="00636081"/>
    <w:rsid w:val="0063628C"/>
    <w:rsid w:val="00636306"/>
    <w:rsid w:val="006365EE"/>
    <w:rsid w:val="00636DF0"/>
    <w:rsid w:val="00637240"/>
    <w:rsid w:val="00637883"/>
    <w:rsid w:val="00637C8A"/>
    <w:rsid w:val="00637CD7"/>
    <w:rsid w:val="00637F86"/>
    <w:rsid w:val="006407A8"/>
    <w:rsid w:val="0064083F"/>
    <w:rsid w:val="00640A49"/>
    <w:rsid w:val="00640D43"/>
    <w:rsid w:val="00640D66"/>
    <w:rsid w:val="00640D76"/>
    <w:rsid w:val="00640FF6"/>
    <w:rsid w:val="0064105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D76"/>
    <w:rsid w:val="00650E50"/>
    <w:rsid w:val="00651219"/>
    <w:rsid w:val="00651382"/>
    <w:rsid w:val="00651ECB"/>
    <w:rsid w:val="00651F5B"/>
    <w:rsid w:val="00651F8A"/>
    <w:rsid w:val="006524E6"/>
    <w:rsid w:val="00652756"/>
    <w:rsid w:val="00652AA6"/>
    <w:rsid w:val="00652AD8"/>
    <w:rsid w:val="00652B79"/>
    <w:rsid w:val="00652F35"/>
    <w:rsid w:val="00653262"/>
    <w:rsid w:val="006533C3"/>
    <w:rsid w:val="006537A8"/>
    <w:rsid w:val="00653A1B"/>
    <w:rsid w:val="00653DE4"/>
    <w:rsid w:val="00653FE2"/>
    <w:rsid w:val="00654068"/>
    <w:rsid w:val="006540A8"/>
    <w:rsid w:val="00654567"/>
    <w:rsid w:val="0065464A"/>
    <w:rsid w:val="00654B38"/>
    <w:rsid w:val="00654B83"/>
    <w:rsid w:val="00655061"/>
    <w:rsid w:val="0065510C"/>
    <w:rsid w:val="00655B63"/>
    <w:rsid w:val="00655C7D"/>
    <w:rsid w:val="00655E68"/>
    <w:rsid w:val="0065600F"/>
    <w:rsid w:val="00656444"/>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F03"/>
    <w:rsid w:val="00666FE9"/>
    <w:rsid w:val="0066732C"/>
    <w:rsid w:val="0066769C"/>
    <w:rsid w:val="00667885"/>
    <w:rsid w:val="006679BF"/>
    <w:rsid w:val="006679F5"/>
    <w:rsid w:val="00667B77"/>
    <w:rsid w:val="00667F9C"/>
    <w:rsid w:val="006700E3"/>
    <w:rsid w:val="006705C2"/>
    <w:rsid w:val="006716DA"/>
    <w:rsid w:val="006719BA"/>
    <w:rsid w:val="00671D8D"/>
    <w:rsid w:val="00671DAA"/>
    <w:rsid w:val="006721B6"/>
    <w:rsid w:val="006728ED"/>
    <w:rsid w:val="006732B1"/>
    <w:rsid w:val="00673481"/>
    <w:rsid w:val="006735CE"/>
    <w:rsid w:val="0067386A"/>
    <w:rsid w:val="0067446F"/>
    <w:rsid w:val="006746A4"/>
    <w:rsid w:val="00674851"/>
    <w:rsid w:val="00674B65"/>
    <w:rsid w:val="00674E7F"/>
    <w:rsid w:val="00674E8C"/>
    <w:rsid w:val="00675558"/>
    <w:rsid w:val="00675611"/>
    <w:rsid w:val="0067579D"/>
    <w:rsid w:val="00675886"/>
    <w:rsid w:val="006759A6"/>
    <w:rsid w:val="00675A60"/>
    <w:rsid w:val="00675C6C"/>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5280"/>
    <w:rsid w:val="00685387"/>
    <w:rsid w:val="0068545E"/>
    <w:rsid w:val="00685C98"/>
    <w:rsid w:val="00685D75"/>
    <w:rsid w:val="00685E9F"/>
    <w:rsid w:val="00685FD4"/>
    <w:rsid w:val="0068628C"/>
    <w:rsid w:val="00686612"/>
    <w:rsid w:val="0068661E"/>
    <w:rsid w:val="00686ADA"/>
    <w:rsid w:val="00686C14"/>
    <w:rsid w:val="00686E1F"/>
    <w:rsid w:val="006871DB"/>
    <w:rsid w:val="0068767F"/>
    <w:rsid w:val="00687E50"/>
    <w:rsid w:val="006904DA"/>
    <w:rsid w:val="00690564"/>
    <w:rsid w:val="00690879"/>
    <w:rsid w:val="00690A49"/>
    <w:rsid w:val="00690BB6"/>
    <w:rsid w:val="00691183"/>
    <w:rsid w:val="006914F2"/>
    <w:rsid w:val="0069187D"/>
    <w:rsid w:val="00691B30"/>
    <w:rsid w:val="00691BAF"/>
    <w:rsid w:val="00691DBB"/>
    <w:rsid w:val="00691E26"/>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34"/>
    <w:rsid w:val="006A301C"/>
    <w:rsid w:val="006A32A8"/>
    <w:rsid w:val="006A3367"/>
    <w:rsid w:val="006A35D2"/>
    <w:rsid w:val="006A3648"/>
    <w:rsid w:val="006A364D"/>
    <w:rsid w:val="006A3A42"/>
    <w:rsid w:val="006A3A78"/>
    <w:rsid w:val="006A3E2B"/>
    <w:rsid w:val="006A49FF"/>
    <w:rsid w:val="006A4C1C"/>
    <w:rsid w:val="006A4DB3"/>
    <w:rsid w:val="006A5318"/>
    <w:rsid w:val="006A5841"/>
    <w:rsid w:val="006A5869"/>
    <w:rsid w:val="006A586A"/>
    <w:rsid w:val="006A590E"/>
    <w:rsid w:val="006A59B5"/>
    <w:rsid w:val="006A5BB7"/>
    <w:rsid w:val="006A6351"/>
    <w:rsid w:val="006A6E17"/>
    <w:rsid w:val="006A7168"/>
    <w:rsid w:val="006A73EC"/>
    <w:rsid w:val="006A7880"/>
    <w:rsid w:val="006A7A2F"/>
    <w:rsid w:val="006B03BF"/>
    <w:rsid w:val="006B11F7"/>
    <w:rsid w:val="006B120D"/>
    <w:rsid w:val="006B17C7"/>
    <w:rsid w:val="006B17E7"/>
    <w:rsid w:val="006B19E8"/>
    <w:rsid w:val="006B1A8A"/>
    <w:rsid w:val="006B1C00"/>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83D"/>
    <w:rsid w:val="006C0B2A"/>
    <w:rsid w:val="006C0C77"/>
    <w:rsid w:val="006C1019"/>
    <w:rsid w:val="006C176C"/>
    <w:rsid w:val="006C18E2"/>
    <w:rsid w:val="006C1C9B"/>
    <w:rsid w:val="006C245C"/>
    <w:rsid w:val="006C272F"/>
    <w:rsid w:val="006C2AA4"/>
    <w:rsid w:val="006C2BB5"/>
    <w:rsid w:val="006C2BEE"/>
    <w:rsid w:val="006C2CD8"/>
    <w:rsid w:val="006C31B4"/>
    <w:rsid w:val="006C348B"/>
    <w:rsid w:val="006C3AD8"/>
    <w:rsid w:val="006C3CEB"/>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43C"/>
    <w:rsid w:val="006C6BB6"/>
    <w:rsid w:val="006C6E3A"/>
    <w:rsid w:val="006C6FD7"/>
    <w:rsid w:val="006C702A"/>
    <w:rsid w:val="006C7518"/>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6B5"/>
    <w:rsid w:val="006E57C6"/>
    <w:rsid w:val="006E581F"/>
    <w:rsid w:val="006E5ACE"/>
    <w:rsid w:val="006E5DFE"/>
    <w:rsid w:val="006E5E19"/>
    <w:rsid w:val="006E61C3"/>
    <w:rsid w:val="006E61E4"/>
    <w:rsid w:val="006E6A7B"/>
    <w:rsid w:val="006E6C00"/>
    <w:rsid w:val="006E6E67"/>
    <w:rsid w:val="006E7723"/>
    <w:rsid w:val="006E799D"/>
    <w:rsid w:val="006E7D95"/>
    <w:rsid w:val="006F0139"/>
    <w:rsid w:val="006F0402"/>
    <w:rsid w:val="006F0593"/>
    <w:rsid w:val="006F0930"/>
    <w:rsid w:val="006F0DE3"/>
    <w:rsid w:val="006F0FBD"/>
    <w:rsid w:val="006F1064"/>
    <w:rsid w:val="006F1EB7"/>
    <w:rsid w:val="006F204E"/>
    <w:rsid w:val="006F2A61"/>
    <w:rsid w:val="006F2AAC"/>
    <w:rsid w:val="006F2AD0"/>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C8C"/>
    <w:rsid w:val="006F6066"/>
    <w:rsid w:val="006F643A"/>
    <w:rsid w:val="006F66F0"/>
    <w:rsid w:val="006F6850"/>
    <w:rsid w:val="006F6B5A"/>
    <w:rsid w:val="006F6D41"/>
    <w:rsid w:val="006F6E97"/>
    <w:rsid w:val="006F707E"/>
    <w:rsid w:val="006F7200"/>
    <w:rsid w:val="006F72A4"/>
    <w:rsid w:val="006F785B"/>
    <w:rsid w:val="006F78B6"/>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9C5"/>
    <w:rsid w:val="00703C9D"/>
    <w:rsid w:val="007044BD"/>
    <w:rsid w:val="0070490C"/>
    <w:rsid w:val="007051B7"/>
    <w:rsid w:val="007051E2"/>
    <w:rsid w:val="00705514"/>
    <w:rsid w:val="00705520"/>
    <w:rsid w:val="00705C38"/>
    <w:rsid w:val="00706303"/>
    <w:rsid w:val="00706390"/>
    <w:rsid w:val="00706465"/>
    <w:rsid w:val="00706695"/>
    <w:rsid w:val="007067E9"/>
    <w:rsid w:val="00706928"/>
    <w:rsid w:val="0070695A"/>
    <w:rsid w:val="00706B11"/>
    <w:rsid w:val="00706CC6"/>
    <w:rsid w:val="00706E8F"/>
    <w:rsid w:val="00706F75"/>
    <w:rsid w:val="00707222"/>
    <w:rsid w:val="00707287"/>
    <w:rsid w:val="00707362"/>
    <w:rsid w:val="00707460"/>
    <w:rsid w:val="00707614"/>
    <w:rsid w:val="0070782D"/>
    <w:rsid w:val="00707A2C"/>
    <w:rsid w:val="00707FC3"/>
    <w:rsid w:val="007101F3"/>
    <w:rsid w:val="0071027F"/>
    <w:rsid w:val="007102AE"/>
    <w:rsid w:val="0071030E"/>
    <w:rsid w:val="0071053E"/>
    <w:rsid w:val="007107BC"/>
    <w:rsid w:val="00710848"/>
    <w:rsid w:val="007109C2"/>
    <w:rsid w:val="00710CDD"/>
    <w:rsid w:val="00710E1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BB5"/>
    <w:rsid w:val="00713D10"/>
    <w:rsid w:val="00713DE4"/>
    <w:rsid w:val="0071416E"/>
    <w:rsid w:val="00714398"/>
    <w:rsid w:val="007145C4"/>
    <w:rsid w:val="00714A3E"/>
    <w:rsid w:val="00714BBD"/>
    <w:rsid w:val="00714C47"/>
    <w:rsid w:val="007157A8"/>
    <w:rsid w:val="007158CC"/>
    <w:rsid w:val="00715A5A"/>
    <w:rsid w:val="00716235"/>
    <w:rsid w:val="00716462"/>
    <w:rsid w:val="00716BFC"/>
    <w:rsid w:val="00717B02"/>
    <w:rsid w:val="00717E25"/>
    <w:rsid w:val="007200FC"/>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0E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2F"/>
    <w:rsid w:val="00727D46"/>
    <w:rsid w:val="00727E76"/>
    <w:rsid w:val="00730123"/>
    <w:rsid w:val="00730D8D"/>
    <w:rsid w:val="00731183"/>
    <w:rsid w:val="00731BEF"/>
    <w:rsid w:val="00731D5B"/>
    <w:rsid w:val="00731E7C"/>
    <w:rsid w:val="007320A7"/>
    <w:rsid w:val="007321E0"/>
    <w:rsid w:val="00732524"/>
    <w:rsid w:val="00732539"/>
    <w:rsid w:val="00732545"/>
    <w:rsid w:val="007329EF"/>
    <w:rsid w:val="00732A25"/>
    <w:rsid w:val="00732FC1"/>
    <w:rsid w:val="0073327A"/>
    <w:rsid w:val="00733341"/>
    <w:rsid w:val="00733446"/>
    <w:rsid w:val="00733C34"/>
    <w:rsid w:val="00733DA0"/>
    <w:rsid w:val="00734106"/>
    <w:rsid w:val="00734197"/>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646"/>
    <w:rsid w:val="0074076A"/>
    <w:rsid w:val="007407EE"/>
    <w:rsid w:val="0074082D"/>
    <w:rsid w:val="00740BDA"/>
    <w:rsid w:val="00741224"/>
    <w:rsid w:val="00741AF4"/>
    <w:rsid w:val="00741DCC"/>
    <w:rsid w:val="0074203A"/>
    <w:rsid w:val="0074210D"/>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704F"/>
    <w:rsid w:val="00747159"/>
    <w:rsid w:val="00747204"/>
    <w:rsid w:val="00747703"/>
    <w:rsid w:val="0074783E"/>
    <w:rsid w:val="00747919"/>
    <w:rsid w:val="00747A89"/>
    <w:rsid w:val="00747CA3"/>
    <w:rsid w:val="00747F48"/>
    <w:rsid w:val="00747F4C"/>
    <w:rsid w:val="00750049"/>
    <w:rsid w:val="00750510"/>
    <w:rsid w:val="007505A6"/>
    <w:rsid w:val="0075062E"/>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88A"/>
    <w:rsid w:val="00754BD9"/>
    <w:rsid w:val="00754CDA"/>
    <w:rsid w:val="00754E7A"/>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968"/>
    <w:rsid w:val="00764C67"/>
    <w:rsid w:val="00764D50"/>
    <w:rsid w:val="00764D54"/>
    <w:rsid w:val="007650FC"/>
    <w:rsid w:val="0076533B"/>
    <w:rsid w:val="00765473"/>
    <w:rsid w:val="007659DF"/>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4A6"/>
    <w:rsid w:val="007724FE"/>
    <w:rsid w:val="00772557"/>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79A"/>
    <w:rsid w:val="00775BBB"/>
    <w:rsid w:val="00775F76"/>
    <w:rsid w:val="007767D3"/>
    <w:rsid w:val="00776914"/>
    <w:rsid w:val="00776AEA"/>
    <w:rsid w:val="00776BA2"/>
    <w:rsid w:val="00776BD6"/>
    <w:rsid w:val="007771AE"/>
    <w:rsid w:val="00777BA0"/>
    <w:rsid w:val="00777C28"/>
    <w:rsid w:val="00777F96"/>
    <w:rsid w:val="00780137"/>
    <w:rsid w:val="00780321"/>
    <w:rsid w:val="007803BD"/>
    <w:rsid w:val="007803C2"/>
    <w:rsid w:val="007811AA"/>
    <w:rsid w:val="007811DC"/>
    <w:rsid w:val="00781545"/>
    <w:rsid w:val="00781679"/>
    <w:rsid w:val="00781685"/>
    <w:rsid w:val="00781956"/>
    <w:rsid w:val="00781E95"/>
    <w:rsid w:val="007820FA"/>
    <w:rsid w:val="0078285F"/>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4D9"/>
    <w:rsid w:val="007B46DD"/>
    <w:rsid w:val="007B4E24"/>
    <w:rsid w:val="007B52CD"/>
    <w:rsid w:val="007B5C9B"/>
    <w:rsid w:val="007B6454"/>
    <w:rsid w:val="007B687D"/>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AD"/>
    <w:rsid w:val="007C1A50"/>
    <w:rsid w:val="007C1C84"/>
    <w:rsid w:val="007C1F2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BE"/>
    <w:rsid w:val="007C68DA"/>
    <w:rsid w:val="007C6FC4"/>
    <w:rsid w:val="007C7300"/>
    <w:rsid w:val="007C7357"/>
    <w:rsid w:val="007C7441"/>
    <w:rsid w:val="007C7675"/>
    <w:rsid w:val="007C78B5"/>
    <w:rsid w:val="007C7AD9"/>
    <w:rsid w:val="007D0397"/>
    <w:rsid w:val="007D06F8"/>
    <w:rsid w:val="007D0BB5"/>
    <w:rsid w:val="007D0D08"/>
    <w:rsid w:val="007D0E0B"/>
    <w:rsid w:val="007D1326"/>
    <w:rsid w:val="007D1A83"/>
    <w:rsid w:val="007D1C21"/>
    <w:rsid w:val="007D1C43"/>
    <w:rsid w:val="007D1CAD"/>
    <w:rsid w:val="007D1D32"/>
    <w:rsid w:val="007D1D6F"/>
    <w:rsid w:val="007D229A"/>
    <w:rsid w:val="007D2683"/>
    <w:rsid w:val="007D2766"/>
    <w:rsid w:val="007D2A4D"/>
    <w:rsid w:val="007D2F44"/>
    <w:rsid w:val="007D2F4D"/>
    <w:rsid w:val="007D3DFE"/>
    <w:rsid w:val="007D3EF3"/>
    <w:rsid w:val="007D4178"/>
    <w:rsid w:val="007D41A1"/>
    <w:rsid w:val="007D41E3"/>
    <w:rsid w:val="007D433B"/>
    <w:rsid w:val="007D4638"/>
    <w:rsid w:val="007D4924"/>
    <w:rsid w:val="007D4D33"/>
    <w:rsid w:val="007D551D"/>
    <w:rsid w:val="007D5798"/>
    <w:rsid w:val="007D5CD7"/>
    <w:rsid w:val="007D6C9D"/>
    <w:rsid w:val="007D7175"/>
    <w:rsid w:val="007D7675"/>
    <w:rsid w:val="007D7C7C"/>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101FD"/>
    <w:rsid w:val="00810350"/>
    <w:rsid w:val="0081050B"/>
    <w:rsid w:val="00810861"/>
    <w:rsid w:val="00810A82"/>
    <w:rsid w:val="00810D8D"/>
    <w:rsid w:val="00811317"/>
    <w:rsid w:val="00811835"/>
    <w:rsid w:val="008118AC"/>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8D9"/>
    <w:rsid w:val="008169B0"/>
    <w:rsid w:val="00816CC7"/>
    <w:rsid w:val="00816E27"/>
    <w:rsid w:val="008172BE"/>
    <w:rsid w:val="008173A2"/>
    <w:rsid w:val="00817966"/>
    <w:rsid w:val="00817ACF"/>
    <w:rsid w:val="00817B71"/>
    <w:rsid w:val="00820244"/>
    <w:rsid w:val="00820765"/>
    <w:rsid w:val="00820787"/>
    <w:rsid w:val="00820832"/>
    <w:rsid w:val="008209A0"/>
    <w:rsid w:val="00820B74"/>
    <w:rsid w:val="00820CF1"/>
    <w:rsid w:val="00820DBC"/>
    <w:rsid w:val="00820FBE"/>
    <w:rsid w:val="008217C6"/>
    <w:rsid w:val="00821E1A"/>
    <w:rsid w:val="00821F44"/>
    <w:rsid w:val="008221B3"/>
    <w:rsid w:val="008222FD"/>
    <w:rsid w:val="0082248E"/>
    <w:rsid w:val="00822532"/>
    <w:rsid w:val="008226FD"/>
    <w:rsid w:val="00822A74"/>
    <w:rsid w:val="00822BD1"/>
    <w:rsid w:val="00822C6C"/>
    <w:rsid w:val="008232D1"/>
    <w:rsid w:val="008232DF"/>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C39"/>
    <w:rsid w:val="00830C6B"/>
    <w:rsid w:val="00830D38"/>
    <w:rsid w:val="00830DC3"/>
    <w:rsid w:val="00830E2D"/>
    <w:rsid w:val="00830EFC"/>
    <w:rsid w:val="00831247"/>
    <w:rsid w:val="00831555"/>
    <w:rsid w:val="00831708"/>
    <w:rsid w:val="00831C63"/>
    <w:rsid w:val="00831F52"/>
    <w:rsid w:val="0083206B"/>
    <w:rsid w:val="00832137"/>
    <w:rsid w:val="00832154"/>
    <w:rsid w:val="008323E0"/>
    <w:rsid w:val="0083259D"/>
    <w:rsid w:val="008325C9"/>
    <w:rsid w:val="00832758"/>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6FB3"/>
    <w:rsid w:val="0083700E"/>
    <w:rsid w:val="008376F6"/>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88F"/>
    <w:rsid w:val="008518FC"/>
    <w:rsid w:val="00851995"/>
    <w:rsid w:val="00852229"/>
    <w:rsid w:val="008523B0"/>
    <w:rsid w:val="008524D2"/>
    <w:rsid w:val="0085298C"/>
    <w:rsid w:val="00852E19"/>
    <w:rsid w:val="00852FBE"/>
    <w:rsid w:val="00853730"/>
    <w:rsid w:val="008537A8"/>
    <w:rsid w:val="008538D3"/>
    <w:rsid w:val="00853E87"/>
    <w:rsid w:val="00854F2E"/>
    <w:rsid w:val="00855083"/>
    <w:rsid w:val="00855436"/>
    <w:rsid w:val="00855524"/>
    <w:rsid w:val="0085591C"/>
    <w:rsid w:val="00855BF8"/>
    <w:rsid w:val="00856833"/>
    <w:rsid w:val="00856840"/>
    <w:rsid w:val="008568BA"/>
    <w:rsid w:val="008569ED"/>
    <w:rsid w:val="00856B21"/>
    <w:rsid w:val="00856EC4"/>
    <w:rsid w:val="008571E6"/>
    <w:rsid w:val="008574EA"/>
    <w:rsid w:val="008575E1"/>
    <w:rsid w:val="00857891"/>
    <w:rsid w:val="00857B93"/>
    <w:rsid w:val="00857BFA"/>
    <w:rsid w:val="00857D13"/>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2BA"/>
    <w:rsid w:val="00863A20"/>
    <w:rsid w:val="00863E88"/>
    <w:rsid w:val="00863F57"/>
    <w:rsid w:val="00863FFE"/>
    <w:rsid w:val="00864440"/>
    <w:rsid w:val="0086493F"/>
    <w:rsid w:val="00864998"/>
    <w:rsid w:val="00864B1F"/>
    <w:rsid w:val="00864D76"/>
    <w:rsid w:val="00864F05"/>
    <w:rsid w:val="00865084"/>
    <w:rsid w:val="008650FC"/>
    <w:rsid w:val="00865B34"/>
    <w:rsid w:val="00865BE0"/>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12FD"/>
    <w:rsid w:val="008716A1"/>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E20"/>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4B3"/>
    <w:rsid w:val="00892BE5"/>
    <w:rsid w:val="00892C5F"/>
    <w:rsid w:val="008936BC"/>
    <w:rsid w:val="0089387A"/>
    <w:rsid w:val="0089387C"/>
    <w:rsid w:val="00893A22"/>
    <w:rsid w:val="00893B92"/>
    <w:rsid w:val="00893C2F"/>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B6E"/>
    <w:rsid w:val="00897CB6"/>
    <w:rsid w:val="00897EED"/>
    <w:rsid w:val="00897F0C"/>
    <w:rsid w:val="008A0AB2"/>
    <w:rsid w:val="008A0CF2"/>
    <w:rsid w:val="008A0CFC"/>
    <w:rsid w:val="008A0DCB"/>
    <w:rsid w:val="008A0F7D"/>
    <w:rsid w:val="008A1041"/>
    <w:rsid w:val="008A12FE"/>
    <w:rsid w:val="008A1AFD"/>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423"/>
    <w:rsid w:val="008A4464"/>
    <w:rsid w:val="008A49E5"/>
    <w:rsid w:val="008A5235"/>
    <w:rsid w:val="008A57DC"/>
    <w:rsid w:val="008A5940"/>
    <w:rsid w:val="008A59E9"/>
    <w:rsid w:val="008A5BEA"/>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B08"/>
    <w:rsid w:val="008B7D94"/>
    <w:rsid w:val="008B7E62"/>
    <w:rsid w:val="008B7E65"/>
    <w:rsid w:val="008C0381"/>
    <w:rsid w:val="008C0614"/>
    <w:rsid w:val="008C0A42"/>
    <w:rsid w:val="008C0BE9"/>
    <w:rsid w:val="008C0D1F"/>
    <w:rsid w:val="008C13F0"/>
    <w:rsid w:val="008C1B7F"/>
    <w:rsid w:val="008C1DD9"/>
    <w:rsid w:val="008C1F26"/>
    <w:rsid w:val="008C2799"/>
    <w:rsid w:val="008C2A3A"/>
    <w:rsid w:val="008C3766"/>
    <w:rsid w:val="008C3952"/>
    <w:rsid w:val="008C3EB5"/>
    <w:rsid w:val="008C3EC8"/>
    <w:rsid w:val="008C40DE"/>
    <w:rsid w:val="008C42F1"/>
    <w:rsid w:val="008C4411"/>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F27"/>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B50"/>
    <w:rsid w:val="008D4E33"/>
    <w:rsid w:val="008D543E"/>
    <w:rsid w:val="008D5651"/>
    <w:rsid w:val="008D593C"/>
    <w:rsid w:val="008D5C09"/>
    <w:rsid w:val="008D60BC"/>
    <w:rsid w:val="008D6D7B"/>
    <w:rsid w:val="008D7EB7"/>
    <w:rsid w:val="008E02DB"/>
    <w:rsid w:val="008E0358"/>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5FD"/>
    <w:rsid w:val="008E372B"/>
    <w:rsid w:val="008E38AD"/>
    <w:rsid w:val="008E3BC4"/>
    <w:rsid w:val="008E3BEF"/>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E7FD1"/>
    <w:rsid w:val="008F0074"/>
    <w:rsid w:val="008F0776"/>
    <w:rsid w:val="008F07A6"/>
    <w:rsid w:val="008F0A38"/>
    <w:rsid w:val="008F0F84"/>
    <w:rsid w:val="008F1014"/>
    <w:rsid w:val="008F11C9"/>
    <w:rsid w:val="008F1776"/>
    <w:rsid w:val="008F20DE"/>
    <w:rsid w:val="008F221F"/>
    <w:rsid w:val="008F23D8"/>
    <w:rsid w:val="008F2BE8"/>
    <w:rsid w:val="008F2FD5"/>
    <w:rsid w:val="008F3673"/>
    <w:rsid w:val="008F3726"/>
    <w:rsid w:val="008F37E5"/>
    <w:rsid w:val="008F3B3C"/>
    <w:rsid w:val="008F3C5C"/>
    <w:rsid w:val="008F3C78"/>
    <w:rsid w:val="008F3CB4"/>
    <w:rsid w:val="008F4391"/>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98"/>
    <w:rsid w:val="00900D37"/>
    <w:rsid w:val="00901908"/>
    <w:rsid w:val="00901A2E"/>
    <w:rsid w:val="00901AD3"/>
    <w:rsid w:val="00901BF5"/>
    <w:rsid w:val="00901DD8"/>
    <w:rsid w:val="009025C7"/>
    <w:rsid w:val="00902896"/>
    <w:rsid w:val="00902A07"/>
    <w:rsid w:val="00902ACD"/>
    <w:rsid w:val="00902B32"/>
    <w:rsid w:val="00902CBE"/>
    <w:rsid w:val="00902DF7"/>
    <w:rsid w:val="00902E5F"/>
    <w:rsid w:val="009030AE"/>
    <w:rsid w:val="009031B5"/>
    <w:rsid w:val="009032F7"/>
    <w:rsid w:val="009033EC"/>
    <w:rsid w:val="00903412"/>
    <w:rsid w:val="00903802"/>
    <w:rsid w:val="00903A29"/>
    <w:rsid w:val="00903EE2"/>
    <w:rsid w:val="00903FF5"/>
    <w:rsid w:val="00904033"/>
    <w:rsid w:val="009048AA"/>
    <w:rsid w:val="00904A97"/>
    <w:rsid w:val="009053CB"/>
    <w:rsid w:val="0090545E"/>
    <w:rsid w:val="0090612A"/>
    <w:rsid w:val="00906159"/>
    <w:rsid w:val="0090640E"/>
    <w:rsid w:val="00906599"/>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6A7"/>
    <w:rsid w:val="0091088D"/>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1DE"/>
    <w:rsid w:val="0091522C"/>
    <w:rsid w:val="00915443"/>
    <w:rsid w:val="009156F7"/>
    <w:rsid w:val="00915757"/>
    <w:rsid w:val="009159B3"/>
    <w:rsid w:val="00915AE1"/>
    <w:rsid w:val="00916181"/>
    <w:rsid w:val="009167AC"/>
    <w:rsid w:val="00916FA1"/>
    <w:rsid w:val="0091703B"/>
    <w:rsid w:val="00917320"/>
    <w:rsid w:val="009176DD"/>
    <w:rsid w:val="009177D7"/>
    <w:rsid w:val="009203C3"/>
    <w:rsid w:val="009204C5"/>
    <w:rsid w:val="009204D9"/>
    <w:rsid w:val="00920587"/>
    <w:rsid w:val="009206B9"/>
    <w:rsid w:val="0092094D"/>
    <w:rsid w:val="00920BD6"/>
    <w:rsid w:val="00920C0E"/>
    <w:rsid w:val="0092104B"/>
    <w:rsid w:val="009211D5"/>
    <w:rsid w:val="0092171E"/>
    <w:rsid w:val="0092180D"/>
    <w:rsid w:val="009218DB"/>
    <w:rsid w:val="00921BEF"/>
    <w:rsid w:val="00921DD6"/>
    <w:rsid w:val="00922096"/>
    <w:rsid w:val="00922A2C"/>
    <w:rsid w:val="00922BE9"/>
    <w:rsid w:val="009232BF"/>
    <w:rsid w:val="009232C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CE4"/>
    <w:rsid w:val="00927F8B"/>
    <w:rsid w:val="00927F97"/>
    <w:rsid w:val="00930075"/>
    <w:rsid w:val="009300DC"/>
    <w:rsid w:val="00930865"/>
    <w:rsid w:val="0093094D"/>
    <w:rsid w:val="009312E2"/>
    <w:rsid w:val="0093143B"/>
    <w:rsid w:val="00931921"/>
    <w:rsid w:val="00931DAF"/>
    <w:rsid w:val="00931DCC"/>
    <w:rsid w:val="00931E76"/>
    <w:rsid w:val="0093233B"/>
    <w:rsid w:val="009323FB"/>
    <w:rsid w:val="009328C7"/>
    <w:rsid w:val="00932CB3"/>
    <w:rsid w:val="009330A8"/>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7D9"/>
    <w:rsid w:val="00936D98"/>
    <w:rsid w:val="00936EA3"/>
    <w:rsid w:val="009370EF"/>
    <w:rsid w:val="00937402"/>
    <w:rsid w:val="00940045"/>
    <w:rsid w:val="0094014E"/>
    <w:rsid w:val="009404BA"/>
    <w:rsid w:val="0094081F"/>
    <w:rsid w:val="00940DC5"/>
    <w:rsid w:val="00941347"/>
    <w:rsid w:val="0094152B"/>
    <w:rsid w:val="009417BA"/>
    <w:rsid w:val="009417D5"/>
    <w:rsid w:val="009417EF"/>
    <w:rsid w:val="009419DA"/>
    <w:rsid w:val="00942922"/>
    <w:rsid w:val="00942C80"/>
    <w:rsid w:val="00942EF3"/>
    <w:rsid w:val="0094303C"/>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355"/>
    <w:rsid w:val="009466DD"/>
    <w:rsid w:val="009468B7"/>
    <w:rsid w:val="009468E9"/>
    <w:rsid w:val="0094724E"/>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304B"/>
    <w:rsid w:val="009630D0"/>
    <w:rsid w:val="00963D8F"/>
    <w:rsid w:val="00963E58"/>
    <w:rsid w:val="00964274"/>
    <w:rsid w:val="009647B7"/>
    <w:rsid w:val="009648B6"/>
    <w:rsid w:val="00964F7C"/>
    <w:rsid w:val="009657C3"/>
    <w:rsid w:val="009657F1"/>
    <w:rsid w:val="00965911"/>
    <w:rsid w:val="00965913"/>
    <w:rsid w:val="00966024"/>
    <w:rsid w:val="00966105"/>
    <w:rsid w:val="0096625D"/>
    <w:rsid w:val="009662EA"/>
    <w:rsid w:val="00966396"/>
    <w:rsid w:val="009668DF"/>
    <w:rsid w:val="00966B4C"/>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6C8"/>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F46"/>
    <w:rsid w:val="00991FF8"/>
    <w:rsid w:val="009920BE"/>
    <w:rsid w:val="00992148"/>
    <w:rsid w:val="0099249C"/>
    <w:rsid w:val="009927BE"/>
    <w:rsid w:val="00992B98"/>
    <w:rsid w:val="009930A9"/>
    <w:rsid w:val="009932F3"/>
    <w:rsid w:val="0099359F"/>
    <w:rsid w:val="009935BB"/>
    <w:rsid w:val="00993EBB"/>
    <w:rsid w:val="0099444E"/>
    <w:rsid w:val="0099484B"/>
    <w:rsid w:val="00994871"/>
    <w:rsid w:val="00994E07"/>
    <w:rsid w:val="00994E08"/>
    <w:rsid w:val="00994F6F"/>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97EA0"/>
    <w:rsid w:val="009A010D"/>
    <w:rsid w:val="009A09F2"/>
    <w:rsid w:val="009A0C6F"/>
    <w:rsid w:val="009A14EF"/>
    <w:rsid w:val="009A18C8"/>
    <w:rsid w:val="009A209A"/>
    <w:rsid w:val="009A26FE"/>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3039"/>
    <w:rsid w:val="009B317A"/>
    <w:rsid w:val="009B3248"/>
    <w:rsid w:val="009B3257"/>
    <w:rsid w:val="009B35CB"/>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D5A"/>
    <w:rsid w:val="009C2212"/>
    <w:rsid w:val="009C25C2"/>
    <w:rsid w:val="009C2685"/>
    <w:rsid w:val="009C2A68"/>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2E3F"/>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673"/>
    <w:rsid w:val="009D797E"/>
    <w:rsid w:val="009D7E3D"/>
    <w:rsid w:val="009D7F48"/>
    <w:rsid w:val="009D7FFB"/>
    <w:rsid w:val="009E0431"/>
    <w:rsid w:val="009E04C0"/>
    <w:rsid w:val="009E058F"/>
    <w:rsid w:val="009E0792"/>
    <w:rsid w:val="009E0A9E"/>
    <w:rsid w:val="009E0B8C"/>
    <w:rsid w:val="009E1424"/>
    <w:rsid w:val="009E1668"/>
    <w:rsid w:val="009E16C3"/>
    <w:rsid w:val="009E1844"/>
    <w:rsid w:val="009E19A2"/>
    <w:rsid w:val="009E19F0"/>
    <w:rsid w:val="009E1AA8"/>
    <w:rsid w:val="009E1B48"/>
    <w:rsid w:val="009E1CC0"/>
    <w:rsid w:val="009E1E1E"/>
    <w:rsid w:val="009E25D5"/>
    <w:rsid w:val="009E2747"/>
    <w:rsid w:val="009E2BA5"/>
    <w:rsid w:val="009E2F6C"/>
    <w:rsid w:val="009E32B9"/>
    <w:rsid w:val="009E3771"/>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6164"/>
    <w:rsid w:val="009E64DB"/>
    <w:rsid w:val="009E6794"/>
    <w:rsid w:val="009E683D"/>
    <w:rsid w:val="009E6A53"/>
    <w:rsid w:val="009E6E48"/>
    <w:rsid w:val="009E7189"/>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60D"/>
    <w:rsid w:val="00A01895"/>
    <w:rsid w:val="00A01C83"/>
    <w:rsid w:val="00A01F17"/>
    <w:rsid w:val="00A01FBB"/>
    <w:rsid w:val="00A022A5"/>
    <w:rsid w:val="00A0248E"/>
    <w:rsid w:val="00A026D2"/>
    <w:rsid w:val="00A02EDB"/>
    <w:rsid w:val="00A03572"/>
    <w:rsid w:val="00A0387F"/>
    <w:rsid w:val="00A03A22"/>
    <w:rsid w:val="00A04634"/>
    <w:rsid w:val="00A04826"/>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B8"/>
    <w:rsid w:val="00A10BC9"/>
    <w:rsid w:val="00A10C40"/>
    <w:rsid w:val="00A10FB8"/>
    <w:rsid w:val="00A10FBD"/>
    <w:rsid w:val="00A11027"/>
    <w:rsid w:val="00A117A6"/>
    <w:rsid w:val="00A1200D"/>
    <w:rsid w:val="00A12223"/>
    <w:rsid w:val="00A127D4"/>
    <w:rsid w:val="00A127F6"/>
    <w:rsid w:val="00A12E6E"/>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FAB"/>
    <w:rsid w:val="00A16481"/>
    <w:rsid w:val="00A165BF"/>
    <w:rsid w:val="00A16645"/>
    <w:rsid w:val="00A16A46"/>
    <w:rsid w:val="00A1705A"/>
    <w:rsid w:val="00A170C5"/>
    <w:rsid w:val="00A172E8"/>
    <w:rsid w:val="00A176A0"/>
    <w:rsid w:val="00A1777E"/>
    <w:rsid w:val="00A179FF"/>
    <w:rsid w:val="00A2009D"/>
    <w:rsid w:val="00A2036B"/>
    <w:rsid w:val="00A2040F"/>
    <w:rsid w:val="00A2041F"/>
    <w:rsid w:val="00A204C4"/>
    <w:rsid w:val="00A2055F"/>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4DD3"/>
    <w:rsid w:val="00A25294"/>
    <w:rsid w:val="00A25499"/>
    <w:rsid w:val="00A254EE"/>
    <w:rsid w:val="00A25BE7"/>
    <w:rsid w:val="00A25BE8"/>
    <w:rsid w:val="00A2631F"/>
    <w:rsid w:val="00A27008"/>
    <w:rsid w:val="00A270E2"/>
    <w:rsid w:val="00A27210"/>
    <w:rsid w:val="00A27332"/>
    <w:rsid w:val="00A274CE"/>
    <w:rsid w:val="00A27CDF"/>
    <w:rsid w:val="00A27E95"/>
    <w:rsid w:val="00A3030C"/>
    <w:rsid w:val="00A309C6"/>
    <w:rsid w:val="00A30BBF"/>
    <w:rsid w:val="00A30D13"/>
    <w:rsid w:val="00A30D88"/>
    <w:rsid w:val="00A30DBA"/>
    <w:rsid w:val="00A313D0"/>
    <w:rsid w:val="00A314F9"/>
    <w:rsid w:val="00A319D0"/>
    <w:rsid w:val="00A321F7"/>
    <w:rsid w:val="00A32316"/>
    <w:rsid w:val="00A3242F"/>
    <w:rsid w:val="00A32996"/>
    <w:rsid w:val="00A32D43"/>
    <w:rsid w:val="00A33172"/>
    <w:rsid w:val="00A33324"/>
    <w:rsid w:val="00A33950"/>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339"/>
    <w:rsid w:val="00A363BB"/>
    <w:rsid w:val="00A366E4"/>
    <w:rsid w:val="00A36B95"/>
    <w:rsid w:val="00A36C57"/>
    <w:rsid w:val="00A36E0F"/>
    <w:rsid w:val="00A36E32"/>
    <w:rsid w:val="00A36F54"/>
    <w:rsid w:val="00A373A9"/>
    <w:rsid w:val="00A375A8"/>
    <w:rsid w:val="00A37735"/>
    <w:rsid w:val="00A37918"/>
    <w:rsid w:val="00A37F15"/>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726"/>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63"/>
    <w:rsid w:val="00A50BD4"/>
    <w:rsid w:val="00A50D20"/>
    <w:rsid w:val="00A50FCB"/>
    <w:rsid w:val="00A5118A"/>
    <w:rsid w:val="00A511BD"/>
    <w:rsid w:val="00A5123A"/>
    <w:rsid w:val="00A514A9"/>
    <w:rsid w:val="00A519C4"/>
    <w:rsid w:val="00A51D1B"/>
    <w:rsid w:val="00A527E3"/>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9A8"/>
    <w:rsid w:val="00A56520"/>
    <w:rsid w:val="00A569D4"/>
    <w:rsid w:val="00A56AB8"/>
    <w:rsid w:val="00A56CF7"/>
    <w:rsid w:val="00A56E48"/>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ECB"/>
    <w:rsid w:val="00A64F1E"/>
    <w:rsid w:val="00A64F31"/>
    <w:rsid w:val="00A6534D"/>
    <w:rsid w:val="00A6573D"/>
    <w:rsid w:val="00A65911"/>
    <w:rsid w:val="00A659FB"/>
    <w:rsid w:val="00A65D6D"/>
    <w:rsid w:val="00A663A1"/>
    <w:rsid w:val="00A6643C"/>
    <w:rsid w:val="00A665AD"/>
    <w:rsid w:val="00A66757"/>
    <w:rsid w:val="00A66AF8"/>
    <w:rsid w:val="00A66E1F"/>
    <w:rsid w:val="00A67405"/>
    <w:rsid w:val="00A67544"/>
    <w:rsid w:val="00A6779A"/>
    <w:rsid w:val="00A679D3"/>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9CF"/>
    <w:rsid w:val="00A72CF5"/>
    <w:rsid w:val="00A7333A"/>
    <w:rsid w:val="00A736DB"/>
    <w:rsid w:val="00A73D0D"/>
    <w:rsid w:val="00A74A92"/>
    <w:rsid w:val="00A74BCD"/>
    <w:rsid w:val="00A74D44"/>
    <w:rsid w:val="00A74E64"/>
    <w:rsid w:val="00A751DE"/>
    <w:rsid w:val="00A752C8"/>
    <w:rsid w:val="00A753DE"/>
    <w:rsid w:val="00A759AF"/>
    <w:rsid w:val="00A75C0C"/>
    <w:rsid w:val="00A75CC1"/>
    <w:rsid w:val="00A75E88"/>
    <w:rsid w:val="00A76003"/>
    <w:rsid w:val="00A761F6"/>
    <w:rsid w:val="00A76258"/>
    <w:rsid w:val="00A767C2"/>
    <w:rsid w:val="00A76D38"/>
    <w:rsid w:val="00A76E1F"/>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865"/>
    <w:rsid w:val="00A820F3"/>
    <w:rsid w:val="00A82736"/>
    <w:rsid w:val="00A8297F"/>
    <w:rsid w:val="00A829DE"/>
    <w:rsid w:val="00A82D58"/>
    <w:rsid w:val="00A8309D"/>
    <w:rsid w:val="00A8318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3A4"/>
    <w:rsid w:val="00A90560"/>
    <w:rsid w:val="00A909E2"/>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A96"/>
    <w:rsid w:val="00A94CBE"/>
    <w:rsid w:val="00A950E1"/>
    <w:rsid w:val="00A95274"/>
    <w:rsid w:val="00A954A7"/>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A74"/>
    <w:rsid w:val="00AA4D83"/>
    <w:rsid w:val="00AA5006"/>
    <w:rsid w:val="00AA51F5"/>
    <w:rsid w:val="00AA522D"/>
    <w:rsid w:val="00AA550A"/>
    <w:rsid w:val="00AA5E3B"/>
    <w:rsid w:val="00AA5E86"/>
    <w:rsid w:val="00AA5FB7"/>
    <w:rsid w:val="00AA5FDC"/>
    <w:rsid w:val="00AA6642"/>
    <w:rsid w:val="00AA68B4"/>
    <w:rsid w:val="00AA6CA7"/>
    <w:rsid w:val="00AA6CAF"/>
    <w:rsid w:val="00AA7F27"/>
    <w:rsid w:val="00AB0137"/>
    <w:rsid w:val="00AB0543"/>
    <w:rsid w:val="00AB0AC9"/>
    <w:rsid w:val="00AB0B17"/>
    <w:rsid w:val="00AB0C83"/>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E31"/>
    <w:rsid w:val="00AB725F"/>
    <w:rsid w:val="00AB77F9"/>
    <w:rsid w:val="00AB7C6B"/>
    <w:rsid w:val="00AB7F81"/>
    <w:rsid w:val="00AB7FAD"/>
    <w:rsid w:val="00AC024E"/>
    <w:rsid w:val="00AC0705"/>
    <w:rsid w:val="00AC0BD1"/>
    <w:rsid w:val="00AC0DD8"/>
    <w:rsid w:val="00AC109B"/>
    <w:rsid w:val="00AC10BA"/>
    <w:rsid w:val="00AC1BFE"/>
    <w:rsid w:val="00AC20BA"/>
    <w:rsid w:val="00AC25C1"/>
    <w:rsid w:val="00AC2918"/>
    <w:rsid w:val="00AC2960"/>
    <w:rsid w:val="00AC2D0F"/>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D40"/>
    <w:rsid w:val="00AE2F3F"/>
    <w:rsid w:val="00AE3B4E"/>
    <w:rsid w:val="00AE3F76"/>
    <w:rsid w:val="00AE4B80"/>
    <w:rsid w:val="00AE59EC"/>
    <w:rsid w:val="00AE5A82"/>
    <w:rsid w:val="00AE614B"/>
    <w:rsid w:val="00AE6448"/>
    <w:rsid w:val="00AE67B3"/>
    <w:rsid w:val="00AE67F0"/>
    <w:rsid w:val="00AE7864"/>
    <w:rsid w:val="00AE7949"/>
    <w:rsid w:val="00AE7ECF"/>
    <w:rsid w:val="00AF00AF"/>
    <w:rsid w:val="00AF0105"/>
    <w:rsid w:val="00AF0253"/>
    <w:rsid w:val="00AF02FA"/>
    <w:rsid w:val="00AF0A72"/>
    <w:rsid w:val="00AF0E3B"/>
    <w:rsid w:val="00AF0F2D"/>
    <w:rsid w:val="00AF10BB"/>
    <w:rsid w:val="00AF127C"/>
    <w:rsid w:val="00AF13F9"/>
    <w:rsid w:val="00AF1FAC"/>
    <w:rsid w:val="00AF2053"/>
    <w:rsid w:val="00AF2563"/>
    <w:rsid w:val="00AF25D5"/>
    <w:rsid w:val="00AF2D7F"/>
    <w:rsid w:val="00AF2E8D"/>
    <w:rsid w:val="00AF3149"/>
    <w:rsid w:val="00AF3DBB"/>
    <w:rsid w:val="00AF3E9C"/>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795"/>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6DD9"/>
    <w:rsid w:val="00B17389"/>
    <w:rsid w:val="00B174BF"/>
    <w:rsid w:val="00B177DB"/>
    <w:rsid w:val="00B179B5"/>
    <w:rsid w:val="00B17ABD"/>
    <w:rsid w:val="00B17B6A"/>
    <w:rsid w:val="00B17E22"/>
    <w:rsid w:val="00B203B5"/>
    <w:rsid w:val="00B207F8"/>
    <w:rsid w:val="00B209E8"/>
    <w:rsid w:val="00B20A59"/>
    <w:rsid w:val="00B20DB5"/>
    <w:rsid w:val="00B20DE8"/>
    <w:rsid w:val="00B20FA9"/>
    <w:rsid w:val="00B21656"/>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835"/>
    <w:rsid w:val="00B30839"/>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4D2"/>
    <w:rsid w:val="00B36537"/>
    <w:rsid w:val="00B36899"/>
    <w:rsid w:val="00B3745B"/>
    <w:rsid w:val="00B37CC2"/>
    <w:rsid w:val="00B37D7C"/>
    <w:rsid w:val="00B37D97"/>
    <w:rsid w:val="00B37FBB"/>
    <w:rsid w:val="00B4048E"/>
    <w:rsid w:val="00B40844"/>
    <w:rsid w:val="00B40971"/>
    <w:rsid w:val="00B40A5A"/>
    <w:rsid w:val="00B411BD"/>
    <w:rsid w:val="00B41559"/>
    <w:rsid w:val="00B417D6"/>
    <w:rsid w:val="00B418E8"/>
    <w:rsid w:val="00B41AA3"/>
    <w:rsid w:val="00B41E21"/>
    <w:rsid w:val="00B41EB9"/>
    <w:rsid w:val="00B420EC"/>
    <w:rsid w:val="00B42285"/>
    <w:rsid w:val="00B42634"/>
    <w:rsid w:val="00B4274B"/>
    <w:rsid w:val="00B42C1B"/>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6F85"/>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ACC"/>
    <w:rsid w:val="00B54DCB"/>
    <w:rsid w:val="00B55275"/>
    <w:rsid w:val="00B555B1"/>
    <w:rsid w:val="00B5560E"/>
    <w:rsid w:val="00B556BC"/>
    <w:rsid w:val="00B55AC2"/>
    <w:rsid w:val="00B55E00"/>
    <w:rsid w:val="00B55F5C"/>
    <w:rsid w:val="00B560C9"/>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70DA"/>
    <w:rsid w:val="00B67672"/>
    <w:rsid w:val="00B67769"/>
    <w:rsid w:val="00B67C5E"/>
    <w:rsid w:val="00B67E6F"/>
    <w:rsid w:val="00B67EAF"/>
    <w:rsid w:val="00B7074E"/>
    <w:rsid w:val="00B708B3"/>
    <w:rsid w:val="00B709BA"/>
    <w:rsid w:val="00B70CF0"/>
    <w:rsid w:val="00B70FE4"/>
    <w:rsid w:val="00B71083"/>
    <w:rsid w:val="00B711CE"/>
    <w:rsid w:val="00B7161E"/>
    <w:rsid w:val="00B71B3C"/>
    <w:rsid w:val="00B71D1C"/>
    <w:rsid w:val="00B71DC8"/>
    <w:rsid w:val="00B71E1F"/>
    <w:rsid w:val="00B720F2"/>
    <w:rsid w:val="00B721E8"/>
    <w:rsid w:val="00B7223C"/>
    <w:rsid w:val="00B7234E"/>
    <w:rsid w:val="00B72564"/>
    <w:rsid w:val="00B72AA3"/>
    <w:rsid w:val="00B72B7B"/>
    <w:rsid w:val="00B734FB"/>
    <w:rsid w:val="00B73596"/>
    <w:rsid w:val="00B735FC"/>
    <w:rsid w:val="00B73B49"/>
    <w:rsid w:val="00B741F0"/>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A55"/>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A56"/>
    <w:rsid w:val="00B92BCA"/>
    <w:rsid w:val="00B92E84"/>
    <w:rsid w:val="00B93204"/>
    <w:rsid w:val="00B93332"/>
    <w:rsid w:val="00B93EE1"/>
    <w:rsid w:val="00B9421C"/>
    <w:rsid w:val="00B949FA"/>
    <w:rsid w:val="00B94B62"/>
    <w:rsid w:val="00B94C7A"/>
    <w:rsid w:val="00B94E17"/>
    <w:rsid w:val="00B94F68"/>
    <w:rsid w:val="00B952E0"/>
    <w:rsid w:val="00B95537"/>
    <w:rsid w:val="00B95544"/>
    <w:rsid w:val="00B957FE"/>
    <w:rsid w:val="00B9590D"/>
    <w:rsid w:val="00B95B4B"/>
    <w:rsid w:val="00B95F02"/>
    <w:rsid w:val="00B95F03"/>
    <w:rsid w:val="00B9685A"/>
    <w:rsid w:val="00B96A74"/>
    <w:rsid w:val="00B96AE0"/>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44D5"/>
    <w:rsid w:val="00BA45AB"/>
    <w:rsid w:val="00BA46F9"/>
    <w:rsid w:val="00BA49E7"/>
    <w:rsid w:val="00BA4B32"/>
    <w:rsid w:val="00BA4D43"/>
    <w:rsid w:val="00BA4D74"/>
    <w:rsid w:val="00BA4DAA"/>
    <w:rsid w:val="00BA50DD"/>
    <w:rsid w:val="00BA50E9"/>
    <w:rsid w:val="00BA54CD"/>
    <w:rsid w:val="00BA56E8"/>
    <w:rsid w:val="00BA57E0"/>
    <w:rsid w:val="00BA5C5E"/>
    <w:rsid w:val="00BA5EF1"/>
    <w:rsid w:val="00BA6787"/>
    <w:rsid w:val="00BA6B7B"/>
    <w:rsid w:val="00BA6C1C"/>
    <w:rsid w:val="00BA71EF"/>
    <w:rsid w:val="00BA7204"/>
    <w:rsid w:val="00BA7409"/>
    <w:rsid w:val="00BA7CCE"/>
    <w:rsid w:val="00BB03A6"/>
    <w:rsid w:val="00BB04DE"/>
    <w:rsid w:val="00BB0775"/>
    <w:rsid w:val="00BB07EF"/>
    <w:rsid w:val="00BB08F5"/>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F9A"/>
    <w:rsid w:val="00BB7795"/>
    <w:rsid w:val="00BB78CB"/>
    <w:rsid w:val="00BB7FD1"/>
    <w:rsid w:val="00BC0002"/>
    <w:rsid w:val="00BC00EC"/>
    <w:rsid w:val="00BC0100"/>
    <w:rsid w:val="00BC0428"/>
    <w:rsid w:val="00BC0814"/>
    <w:rsid w:val="00BC08C5"/>
    <w:rsid w:val="00BC0ACC"/>
    <w:rsid w:val="00BC0CAC"/>
    <w:rsid w:val="00BC12AA"/>
    <w:rsid w:val="00BC12FB"/>
    <w:rsid w:val="00BC165C"/>
    <w:rsid w:val="00BC1738"/>
    <w:rsid w:val="00BC1B55"/>
    <w:rsid w:val="00BC1C3C"/>
    <w:rsid w:val="00BC1D41"/>
    <w:rsid w:val="00BC1D4D"/>
    <w:rsid w:val="00BC1E07"/>
    <w:rsid w:val="00BC2957"/>
    <w:rsid w:val="00BC2A81"/>
    <w:rsid w:val="00BC307F"/>
    <w:rsid w:val="00BC30F9"/>
    <w:rsid w:val="00BC3159"/>
    <w:rsid w:val="00BC3257"/>
    <w:rsid w:val="00BC39DB"/>
    <w:rsid w:val="00BC3A32"/>
    <w:rsid w:val="00BC3B07"/>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A60"/>
    <w:rsid w:val="00BD6CC6"/>
    <w:rsid w:val="00BD7291"/>
    <w:rsid w:val="00BD73EA"/>
    <w:rsid w:val="00BD7EA3"/>
    <w:rsid w:val="00BD7FE2"/>
    <w:rsid w:val="00BE016E"/>
    <w:rsid w:val="00BE039B"/>
    <w:rsid w:val="00BE0B19"/>
    <w:rsid w:val="00BE0DD8"/>
    <w:rsid w:val="00BE0E4B"/>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976"/>
    <w:rsid w:val="00BF2B6F"/>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CD"/>
    <w:rsid w:val="00BF5D19"/>
    <w:rsid w:val="00BF61D2"/>
    <w:rsid w:val="00BF6205"/>
    <w:rsid w:val="00BF63AD"/>
    <w:rsid w:val="00BF6D4E"/>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66"/>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709"/>
    <w:rsid w:val="00C05BEC"/>
    <w:rsid w:val="00C05BFB"/>
    <w:rsid w:val="00C05F7C"/>
    <w:rsid w:val="00C065B0"/>
    <w:rsid w:val="00C06AE4"/>
    <w:rsid w:val="00C06D5E"/>
    <w:rsid w:val="00C06E48"/>
    <w:rsid w:val="00C06E7D"/>
    <w:rsid w:val="00C071BC"/>
    <w:rsid w:val="00C07217"/>
    <w:rsid w:val="00C077B9"/>
    <w:rsid w:val="00C07936"/>
    <w:rsid w:val="00C07C88"/>
    <w:rsid w:val="00C101C3"/>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67B"/>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5B4"/>
    <w:rsid w:val="00C169C2"/>
    <w:rsid w:val="00C16C30"/>
    <w:rsid w:val="00C17103"/>
    <w:rsid w:val="00C17218"/>
    <w:rsid w:val="00C173DD"/>
    <w:rsid w:val="00C1751F"/>
    <w:rsid w:val="00C177A8"/>
    <w:rsid w:val="00C17C85"/>
    <w:rsid w:val="00C20646"/>
    <w:rsid w:val="00C209CB"/>
    <w:rsid w:val="00C20A00"/>
    <w:rsid w:val="00C21673"/>
    <w:rsid w:val="00C21AF9"/>
    <w:rsid w:val="00C21C7A"/>
    <w:rsid w:val="00C21D04"/>
    <w:rsid w:val="00C21D53"/>
    <w:rsid w:val="00C2201C"/>
    <w:rsid w:val="00C223D9"/>
    <w:rsid w:val="00C22548"/>
    <w:rsid w:val="00C22A26"/>
    <w:rsid w:val="00C22FE4"/>
    <w:rsid w:val="00C23130"/>
    <w:rsid w:val="00C23634"/>
    <w:rsid w:val="00C24302"/>
    <w:rsid w:val="00C247DD"/>
    <w:rsid w:val="00C24B05"/>
    <w:rsid w:val="00C24B94"/>
    <w:rsid w:val="00C25084"/>
    <w:rsid w:val="00C255A5"/>
    <w:rsid w:val="00C2584B"/>
    <w:rsid w:val="00C25942"/>
    <w:rsid w:val="00C25D3C"/>
    <w:rsid w:val="00C25DD9"/>
    <w:rsid w:val="00C25DF6"/>
    <w:rsid w:val="00C2663F"/>
    <w:rsid w:val="00C269D7"/>
    <w:rsid w:val="00C26DB8"/>
    <w:rsid w:val="00C27455"/>
    <w:rsid w:val="00C30301"/>
    <w:rsid w:val="00C30359"/>
    <w:rsid w:val="00C305A0"/>
    <w:rsid w:val="00C30692"/>
    <w:rsid w:val="00C309CA"/>
    <w:rsid w:val="00C30E9F"/>
    <w:rsid w:val="00C31014"/>
    <w:rsid w:val="00C31684"/>
    <w:rsid w:val="00C320F3"/>
    <w:rsid w:val="00C326BC"/>
    <w:rsid w:val="00C32DEA"/>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52B3"/>
    <w:rsid w:val="00C352EB"/>
    <w:rsid w:val="00C357D9"/>
    <w:rsid w:val="00C35C31"/>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E02"/>
    <w:rsid w:val="00C40201"/>
    <w:rsid w:val="00C40373"/>
    <w:rsid w:val="00C4082D"/>
    <w:rsid w:val="00C40AE6"/>
    <w:rsid w:val="00C40FA2"/>
    <w:rsid w:val="00C411AF"/>
    <w:rsid w:val="00C4127F"/>
    <w:rsid w:val="00C4138D"/>
    <w:rsid w:val="00C41DAC"/>
    <w:rsid w:val="00C41E3A"/>
    <w:rsid w:val="00C41FE5"/>
    <w:rsid w:val="00C426A7"/>
    <w:rsid w:val="00C42799"/>
    <w:rsid w:val="00C427B5"/>
    <w:rsid w:val="00C428D8"/>
    <w:rsid w:val="00C42B9B"/>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A0F"/>
    <w:rsid w:val="00C46B15"/>
    <w:rsid w:val="00C46D27"/>
    <w:rsid w:val="00C46F7D"/>
    <w:rsid w:val="00C479B5"/>
    <w:rsid w:val="00C47A55"/>
    <w:rsid w:val="00C47B7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D12"/>
    <w:rsid w:val="00C53EB3"/>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AB"/>
    <w:rsid w:val="00C57CED"/>
    <w:rsid w:val="00C57DDB"/>
    <w:rsid w:val="00C60023"/>
    <w:rsid w:val="00C60510"/>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993"/>
    <w:rsid w:val="00C77E1A"/>
    <w:rsid w:val="00C77E5C"/>
    <w:rsid w:val="00C77F14"/>
    <w:rsid w:val="00C80073"/>
    <w:rsid w:val="00C801FA"/>
    <w:rsid w:val="00C803D2"/>
    <w:rsid w:val="00C80753"/>
    <w:rsid w:val="00C80816"/>
    <w:rsid w:val="00C808D2"/>
    <w:rsid w:val="00C80B23"/>
    <w:rsid w:val="00C80DEA"/>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477"/>
    <w:rsid w:val="00C925E6"/>
    <w:rsid w:val="00C92913"/>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57B9"/>
    <w:rsid w:val="00C95854"/>
    <w:rsid w:val="00C95D65"/>
    <w:rsid w:val="00C95EFF"/>
    <w:rsid w:val="00C96856"/>
    <w:rsid w:val="00C9687C"/>
    <w:rsid w:val="00C96C66"/>
    <w:rsid w:val="00C96E6F"/>
    <w:rsid w:val="00C96E84"/>
    <w:rsid w:val="00C97095"/>
    <w:rsid w:val="00C9726B"/>
    <w:rsid w:val="00C9757D"/>
    <w:rsid w:val="00C975AD"/>
    <w:rsid w:val="00C9780A"/>
    <w:rsid w:val="00C97872"/>
    <w:rsid w:val="00C979B6"/>
    <w:rsid w:val="00C97A1F"/>
    <w:rsid w:val="00C97DE1"/>
    <w:rsid w:val="00CA028F"/>
    <w:rsid w:val="00CA03A5"/>
    <w:rsid w:val="00CA0532"/>
    <w:rsid w:val="00CA15A0"/>
    <w:rsid w:val="00CA17C2"/>
    <w:rsid w:val="00CA1932"/>
    <w:rsid w:val="00CA2241"/>
    <w:rsid w:val="00CA2793"/>
    <w:rsid w:val="00CA2895"/>
    <w:rsid w:val="00CA2B83"/>
    <w:rsid w:val="00CA2D89"/>
    <w:rsid w:val="00CA2FC4"/>
    <w:rsid w:val="00CA34F4"/>
    <w:rsid w:val="00CA3586"/>
    <w:rsid w:val="00CA359B"/>
    <w:rsid w:val="00CA3C3F"/>
    <w:rsid w:val="00CA3CDD"/>
    <w:rsid w:val="00CA3FAD"/>
    <w:rsid w:val="00CA403B"/>
    <w:rsid w:val="00CA449A"/>
    <w:rsid w:val="00CA450D"/>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9C"/>
    <w:rsid w:val="00CB1CE2"/>
    <w:rsid w:val="00CB1F09"/>
    <w:rsid w:val="00CB26EC"/>
    <w:rsid w:val="00CB27CA"/>
    <w:rsid w:val="00CB2943"/>
    <w:rsid w:val="00CB2BAB"/>
    <w:rsid w:val="00CB2D2A"/>
    <w:rsid w:val="00CB301A"/>
    <w:rsid w:val="00CB36F2"/>
    <w:rsid w:val="00CB38E1"/>
    <w:rsid w:val="00CB3A09"/>
    <w:rsid w:val="00CB3E41"/>
    <w:rsid w:val="00CB3F3B"/>
    <w:rsid w:val="00CB42EA"/>
    <w:rsid w:val="00CB4A81"/>
    <w:rsid w:val="00CB4D57"/>
    <w:rsid w:val="00CB4E80"/>
    <w:rsid w:val="00CB5054"/>
    <w:rsid w:val="00CB56BD"/>
    <w:rsid w:val="00CB5B1E"/>
    <w:rsid w:val="00CB5B94"/>
    <w:rsid w:val="00CB5C96"/>
    <w:rsid w:val="00CB6414"/>
    <w:rsid w:val="00CB66CA"/>
    <w:rsid w:val="00CB676A"/>
    <w:rsid w:val="00CB6CEA"/>
    <w:rsid w:val="00CB705B"/>
    <w:rsid w:val="00CB766B"/>
    <w:rsid w:val="00CB7751"/>
    <w:rsid w:val="00CB787A"/>
    <w:rsid w:val="00CB7895"/>
    <w:rsid w:val="00CB7C11"/>
    <w:rsid w:val="00CC08B1"/>
    <w:rsid w:val="00CC0C4A"/>
    <w:rsid w:val="00CC0F1D"/>
    <w:rsid w:val="00CC1198"/>
    <w:rsid w:val="00CC1303"/>
    <w:rsid w:val="00CC177F"/>
    <w:rsid w:val="00CC17F0"/>
    <w:rsid w:val="00CC1853"/>
    <w:rsid w:val="00CC1B49"/>
    <w:rsid w:val="00CC1DAB"/>
    <w:rsid w:val="00CC1FAE"/>
    <w:rsid w:val="00CC29E1"/>
    <w:rsid w:val="00CC2C6E"/>
    <w:rsid w:val="00CC3631"/>
    <w:rsid w:val="00CC3A23"/>
    <w:rsid w:val="00CC3D82"/>
    <w:rsid w:val="00CC42C4"/>
    <w:rsid w:val="00CC4358"/>
    <w:rsid w:val="00CC445C"/>
    <w:rsid w:val="00CC453A"/>
    <w:rsid w:val="00CC4F82"/>
    <w:rsid w:val="00CC5584"/>
    <w:rsid w:val="00CC590C"/>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9A"/>
    <w:rsid w:val="00CD28D0"/>
    <w:rsid w:val="00CD2A75"/>
    <w:rsid w:val="00CD2D6A"/>
    <w:rsid w:val="00CD32F8"/>
    <w:rsid w:val="00CD3629"/>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D0F"/>
    <w:rsid w:val="00CE0109"/>
    <w:rsid w:val="00CE0385"/>
    <w:rsid w:val="00CE07C0"/>
    <w:rsid w:val="00CE07D2"/>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43E"/>
    <w:rsid w:val="00CF453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F01"/>
    <w:rsid w:val="00D0024F"/>
    <w:rsid w:val="00D002B0"/>
    <w:rsid w:val="00D0038F"/>
    <w:rsid w:val="00D003C7"/>
    <w:rsid w:val="00D004FA"/>
    <w:rsid w:val="00D0050D"/>
    <w:rsid w:val="00D0089E"/>
    <w:rsid w:val="00D00FC4"/>
    <w:rsid w:val="00D0108C"/>
    <w:rsid w:val="00D0171C"/>
    <w:rsid w:val="00D0194B"/>
    <w:rsid w:val="00D01991"/>
    <w:rsid w:val="00D01A0D"/>
    <w:rsid w:val="00D01A56"/>
    <w:rsid w:val="00D01B21"/>
    <w:rsid w:val="00D01E2F"/>
    <w:rsid w:val="00D01FFA"/>
    <w:rsid w:val="00D020D6"/>
    <w:rsid w:val="00D024FF"/>
    <w:rsid w:val="00D02556"/>
    <w:rsid w:val="00D02E4D"/>
    <w:rsid w:val="00D02EE1"/>
    <w:rsid w:val="00D02F10"/>
    <w:rsid w:val="00D03102"/>
    <w:rsid w:val="00D0313D"/>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502"/>
    <w:rsid w:val="00D13B0A"/>
    <w:rsid w:val="00D13C2C"/>
    <w:rsid w:val="00D14236"/>
    <w:rsid w:val="00D14464"/>
    <w:rsid w:val="00D14553"/>
    <w:rsid w:val="00D14717"/>
    <w:rsid w:val="00D1475F"/>
    <w:rsid w:val="00D14846"/>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486"/>
    <w:rsid w:val="00D20504"/>
    <w:rsid w:val="00D2086E"/>
    <w:rsid w:val="00D2092F"/>
    <w:rsid w:val="00D20B39"/>
    <w:rsid w:val="00D20B8B"/>
    <w:rsid w:val="00D20BD0"/>
    <w:rsid w:val="00D20D9A"/>
    <w:rsid w:val="00D2162C"/>
    <w:rsid w:val="00D21A18"/>
    <w:rsid w:val="00D21A3C"/>
    <w:rsid w:val="00D21C36"/>
    <w:rsid w:val="00D22160"/>
    <w:rsid w:val="00D224D5"/>
    <w:rsid w:val="00D22502"/>
    <w:rsid w:val="00D22B4E"/>
    <w:rsid w:val="00D22E53"/>
    <w:rsid w:val="00D233F1"/>
    <w:rsid w:val="00D23D73"/>
    <w:rsid w:val="00D2436C"/>
    <w:rsid w:val="00D2470A"/>
    <w:rsid w:val="00D249ED"/>
    <w:rsid w:val="00D25150"/>
    <w:rsid w:val="00D256F8"/>
    <w:rsid w:val="00D25BE5"/>
    <w:rsid w:val="00D25DCD"/>
    <w:rsid w:val="00D262FD"/>
    <w:rsid w:val="00D263FF"/>
    <w:rsid w:val="00D26423"/>
    <w:rsid w:val="00D2685C"/>
    <w:rsid w:val="00D26A3B"/>
    <w:rsid w:val="00D26BDE"/>
    <w:rsid w:val="00D26C44"/>
    <w:rsid w:val="00D27175"/>
    <w:rsid w:val="00D27411"/>
    <w:rsid w:val="00D274F8"/>
    <w:rsid w:val="00D27BD4"/>
    <w:rsid w:val="00D30143"/>
    <w:rsid w:val="00D301E3"/>
    <w:rsid w:val="00D302FD"/>
    <w:rsid w:val="00D3038A"/>
    <w:rsid w:val="00D303E1"/>
    <w:rsid w:val="00D3077E"/>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496"/>
    <w:rsid w:val="00D37AF0"/>
    <w:rsid w:val="00D37D97"/>
    <w:rsid w:val="00D37FEE"/>
    <w:rsid w:val="00D40295"/>
    <w:rsid w:val="00D40B4B"/>
    <w:rsid w:val="00D412B7"/>
    <w:rsid w:val="00D4197F"/>
    <w:rsid w:val="00D41A80"/>
    <w:rsid w:val="00D41D49"/>
    <w:rsid w:val="00D4246D"/>
    <w:rsid w:val="00D424A8"/>
    <w:rsid w:val="00D429D1"/>
    <w:rsid w:val="00D42C5C"/>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73A3"/>
    <w:rsid w:val="00D479E5"/>
    <w:rsid w:val="00D47B51"/>
    <w:rsid w:val="00D47DD0"/>
    <w:rsid w:val="00D50024"/>
    <w:rsid w:val="00D50183"/>
    <w:rsid w:val="00D5019C"/>
    <w:rsid w:val="00D5048E"/>
    <w:rsid w:val="00D50FF0"/>
    <w:rsid w:val="00D513DD"/>
    <w:rsid w:val="00D51D12"/>
    <w:rsid w:val="00D51EB2"/>
    <w:rsid w:val="00D522A9"/>
    <w:rsid w:val="00D5243C"/>
    <w:rsid w:val="00D5280C"/>
    <w:rsid w:val="00D52E43"/>
    <w:rsid w:val="00D531DF"/>
    <w:rsid w:val="00D5321D"/>
    <w:rsid w:val="00D5362B"/>
    <w:rsid w:val="00D5399B"/>
    <w:rsid w:val="00D53DEF"/>
    <w:rsid w:val="00D5414D"/>
    <w:rsid w:val="00D55049"/>
    <w:rsid w:val="00D55072"/>
    <w:rsid w:val="00D551B5"/>
    <w:rsid w:val="00D55570"/>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FD9"/>
    <w:rsid w:val="00D7144E"/>
    <w:rsid w:val="00D715EB"/>
    <w:rsid w:val="00D71896"/>
    <w:rsid w:val="00D71B5C"/>
    <w:rsid w:val="00D71BBA"/>
    <w:rsid w:val="00D71CD0"/>
    <w:rsid w:val="00D71F88"/>
    <w:rsid w:val="00D72033"/>
    <w:rsid w:val="00D72228"/>
    <w:rsid w:val="00D7303E"/>
    <w:rsid w:val="00D730A8"/>
    <w:rsid w:val="00D7356F"/>
    <w:rsid w:val="00D73587"/>
    <w:rsid w:val="00D735D7"/>
    <w:rsid w:val="00D73827"/>
    <w:rsid w:val="00D73CEF"/>
    <w:rsid w:val="00D73EBB"/>
    <w:rsid w:val="00D74413"/>
    <w:rsid w:val="00D747CD"/>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6C6"/>
    <w:rsid w:val="00D82EAB"/>
    <w:rsid w:val="00D83073"/>
    <w:rsid w:val="00D83AE9"/>
    <w:rsid w:val="00D83B96"/>
    <w:rsid w:val="00D83D88"/>
    <w:rsid w:val="00D84106"/>
    <w:rsid w:val="00D84115"/>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175"/>
    <w:rsid w:val="00D872D9"/>
    <w:rsid w:val="00D87ABF"/>
    <w:rsid w:val="00D87C2D"/>
    <w:rsid w:val="00D87D6D"/>
    <w:rsid w:val="00D87D86"/>
    <w:rsid w:val="00D900DA"/>
    <w:rsid w:val="00D90230"/>
    <w:rsid w:val="00D904E5"/>
    <w:rsid w:val="00D90CD3"/>
    <w:rsid w:val="00D91074"/>
    <w:rsid w:val="00D91187"/>
    <w:rsid w:val="00D912AF"/>
    <w:rsid w:val="00D919E6"/>
    <w:rsid w:val="00D91BE1"/>
    <w:rsid w:val="00D91E69"/>
    <w:rsid w:val="00D9247E"/>
    <w:rsid w:val="00D9267A"/>
    <w:rsid w:val="00D92A12"/>
    <w:rsid w:val="00D92C29"/>
    <w:rsid w:val="00D92EA0"/>
    <w:rsid w:val="00D931E9"/>
    <w:rsid w:val="00D93481"/>
    <w:rsid w:val="00D936DA"/>
    <w:rsid w:val="00D936E2"/>
    <w:rsid w:val="00D93971"/>
    <w:rsid w:val="00D93E4A"/>
    <w:rsid w:val="00D94CE7"/>
    <w:rsid w:val="00D94E84"/>
    <w:rsid w:val="00D94EAD"/>
    <w:rsid w:val="00D95034"/>
    <w:rsid w:val="00D95104"/>
    <w:rsid w:val="00D95175"/>
    <w:rsid w:val="00D9534C"/>
    <w:rsid w:val="00D95600"/>
    <w:rsid w:val="00D9575E"/>
    <w:rsid w:val="00D95A95"/>
    <w:rsid w:val="00D96264"/>
    <w:rsid w:val="00D96452"/>
    <w:rsid w:val="00D964D6"/>
    <w:rsid w:val="00D96728"/>
    <w:rsid w:val="00D9683C"/>
    <w:rsid w:val="00D96C19"/>
    <w:rsid w:val="00D97160"/>
    <w:rsid w:val="00D9727F"/>
    <w:rsid w:val="00D97884"/>
    <w:rsid w:val="00D97A19"/>
    <w:rsid w:val="00D97CC7"/>
    <w:rsid w:val="00D97EB9"/>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B7A"/>
    <w:rsid w:val="00DA2ED7"/>
    <w:rsid w:val="00DA2FF0"/>
    <w:rsid w:val="00DA3032"/>
    <w:rsid w:val="00DA32E2"/>
    <w:rsid w:val="00DA3645"/>
    <w:rsid w:val="00DA3A02"/>
    <w:rsid w:val="00DA3C39"/>
    <w:rsid w:val="00DA3E57"/>
    <w:rsid w:val="00DA3E7A"/>
    <w:rsid w:val="00DA3E7D"/>
    <w:rsid w:val="00DA408B"/>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226"/>
    <w:rsid w:val="00DA628A"/>
    <w:rsid w:val="00DA62A4"/>
    <w:rsid w:val="00DA64DF"/>
    <w:rsid w:val="00DA6598"/>
    <w:rsid w:val="00DA677A"/>
    <w:rsid w:val="00DA6A8D"/>
    <w:rsid w:val="00DA6C0F"/>
    <w:rsid w:val="00DA6DCD"/>
    <w:rsid w:val="00DA6F18"/>
    <w:rsid w:val="00DA702F"/>
    <w:rsid w:val="00DA71B7"/>
    <w:rsid w:val="00DA74A0"/>
    <w:rsid w:val="00DA7583"/>
    <w:rsid w:val="00DA7CA5"/>
    <w:rsid w:val="00DA7DB2"/>
    <w:rsid w:val="00DA7F8A"/>
    <w:rsid w:val="00DB0176"/>
    <w:rsid w:val="00DB02DB"/>
    <w:rsid w:val="00DB03B2"/>
    <w:rsid w:val="00DB0404"/>
    <w:rsid w:val="00DB04A0"/>
    <w:rsid w:val="00DB0797"/>
    <w:rsid w:val="00DB0997"/>
    <w:rsid w:val="00DB0D83"/>
    <w:rsid w:val="00DB105A"/>
    <w:rsid w:val="00DB1131"/>
    <w:rsid w:val="00DB11F8"/>
    <w:rsid w:val="00DB14E9"/>
    <w:rsid w:val="00DB18F8"/>
    <w:rsid w:val="00DB1E74"/>
    <w:rsid w:val="00DB1E85"/>
    <w:rsid w:val="00DB1F2A"/>
    <w:rsid w:val="00DB297F"/>
    <w:rsid w:val="00DB2B84"/>
    <w:rsid w:val="00DB2CC5"/>
    <w:rsid w:val="00DB2E6F"/>
    <w:rsid w:val="00DB3153"/>
    <w:rsid w:val="00DB317A"/>
    <w:rsid w:val="00DB35D7"/>
    <w:rsid w:val="00DB38C8"/>
    <w:rsid w:val="00DB39AC"/>
    <w:rsid w:val="00DB3B82"/>
    <w:rsid w:val="00DB3D0E"/>
    <w:rsid w:val="00DB3E18"/>
    <w:rsid w:val="00DB439D"/>
    <w:rsid w:val="00DB485D"/>
    <w:rsid w:val="00DB5537"/>
    <w:rsid w:val="00DB576E"/>
    <w:rsid w:val="00DB5C6C"/>
    <w:rsid w:val="00DB66D4"/>
    <w:rsid w:val="00DB675F"/>
    <w:rsid w:val="00DB689C"/>
    <w:rsid w:val="00DB7490"/>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75F"/>
    <w:rsid w:val="00DC49F4"/>
    <w:rsid w:val="00DC4CEA"/>
    <w:rsid w:val="00DC504D"/>
    <w:rsid w:val="00DC5167"/>
    <w:rsid w:val="00DC5672"/>
    <w:rsid w:val="00DC56A2"/>
    <w:rsid w:val="00DC57C4"/>
    <w:rsid w:val="00DC60A2"/>
    <w:rsid w:val="00DC6600"/>
    <w:rsid w:val="00DC67BD"/>
    <w:rsid w:val="00DC6924"/>
    <w:rsid w:val="00DC6B3B"/>
    <w:rsid w:val="00DC70AD"/>
    <w:rsid w:val="00DC71F2"/>
    <w:rsid w:val="00DC749A"/>
    <w:rsid w:val="00DC749B"/>
    <w:rsid w:val="00DC7BD9"/>
    <w:rsid w:val="00DD01C6"/>
    <w:rsid w:val="00DD0290"/>
    <w:rsid w:val="00DD030F"/>
    <w:rsid w:val="00DD033D"/>
    <w:rsid w:val="00DD03EF"/>
    <w:rsid w:val="00DD05D6"/>
    <w:rsid w:val="00DD1343"/>
    <w:rsid w:val="00DD1A60"/>
    <w:rsid w:val="00DD1C71"/>
    <w:rsid w:val="00DD2025"/>
    <w:rsid w:val="00DD21F5"/>
    <w:rsid w:val="00DD22EA"/>
    <w:rsid w:val="00DD23A0"/>
    <w:rsid w:val="00DD27D8"/>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E5E"/>
    <w:rsid w:val="00DE52E3"/>
    <w:rsid w:val="00DE5AB9"/>
    <w:rsid w:val="00DE62A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4719"/>
    <w:rsid w:val="00DF54B4"/>
    <w:rsid w:val="00DF55E8"/>
    <w:rsid w:val="00DF56CC"/>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33"/>
    <w:rsid w:val="00E04384"/>
    <w:rsid w:val="00E04796"/>
    <w:rsid w:val="00E04AF7"/>
    <w:rsid w:val="00E04E5E"/>
    <w:rsid w:val="00E04F0D"/>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9FF"/>
    <w:rsid w:val="00E12A12"/>
    <w:rsid w:val="00E13002"/>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B4"/>
    <w:rsid w:val="00E20D9C"/>
    <w:rsid w:val="00E20F79"/>
    <w:rsid w:val="00E21254"/>
    <w:rsid w:val="00E21278"/>
    <w:rsid w:val="00E22878"/>
    <w:rsid w:val="00E22CCD"/>
    <w:rsid w:val="00E23A11"/>
    <w:rsid w:val="00E23ECD"/>
    <w:rsid w:val="00E23FB7"/>
    <w:rsid w:val="00E24000"/>
    <w:rsid w:val="00E241EA"/>
    <w:rsid w:val="00E244CE"/>
    <w:rsid w:val="00E24506"/>
    <w:rsid w:val="00E24A27"/>
    <w:rsid w:val="00E24C76"/>
    <w:rsid w:val="00E24D33"/>
    <w:rsid w:val="00E25129"/>
    <w:rsid w:val="00E253C1"/>
    <w:rsid w:val="00E25539"/>
    <w:rsid w:val="00E255A9"/>
    <w:rsid w:val="00E25774"/>
    <w:rsid w:val="00E257F0"/>
    <w:rsid w:val="00E25F89"/>
    <w:rsid w:val="00E266F2"/>
    <w:rsid w:val="00E26757"/>
    <w:rsid w:val="00E2692A"/>
    <w:rsid w:val="00E270C0"/>
    <w:rsid w:val="00E2712A"/>
    <w:rsid w:val="00E27153"/>
    <w:rsid w:val="00E27656"/>
    <w:rsid w:val="00E27670"/>
    <w:rsid w:val="00E277DA"/>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947"/>
    <w:rsid w:val="00E35CB2"/>
    <w:rsid w:val="00E35D30"/>
    <w:rsid w:val="00E35DDF"/>
    <w:rsid w:val="00E361B8"/>
    <w:rsid w:val="00E36989"/>
    <w:rsid w:val="00E369DF"/>
    <w:rsid w:val="00E36A1B"/>
    <w:rsid w:val="00E36ED4"/>
    <w:rsid w:val="00E37425"/>
    <w:rsid w:val="00E37507"/>
    <w:rsid w:val="00E375D6"/>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4B0"/>
    <w:rsid w:val="00E5351B"/>
    <w:rsid w:val="00E5386F"/>
    <w:rsid w:val="00E53DB2"/>
    <w:rsid w:val="00E53EA5"/>
    <w:rsid w:val="00E53FA9"/>
    <w:rsid w:val="00E5414C"/>
    <w:rsid w:val="00E541C4"/>
    <w:rsid w:val="00E547B3"/>
    <w:rsid w:val="00E54B21"/>
    <w:rsid w:val="00E54D33"/>
    <w:rsid w:val="00E552FC"/>
    <w:rsid w:val="00E554AF"/>
    <w:rsid w:val="00E55CE3"/>
    <w:rsid w:val="00E55CFA"/>
    <w:rsid w:val="00E55EFF"/>
    <w:rsid w:val="00E56330"/>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62C"/>
    <w:rsid w:val="00E72878"/>
    <w:rsid w:val="00E72C01"/>
    <w:rsid w:val="00E72C30"/>
    <w:rsid w:val="00E72F0C"/>
    <w:rsid w:val="00E73256"/>
    <w:rsid w:val="00E73323"/>
    <w:rsid w:val="00E733F6"/>
    <w:rsid w:val="00E73AC6"/>
    <w:rsid w:val="00E73C6C"/>
    <w:rsid w:val="00E73D13"/>
    <w:rsid w:val="00E73E72"/>
    <w:rsid w:val="00E73F41"/>
    <w:rsid w:val="00E741AC"/>
    <w:rsid w:val="00E7455C"/>
    <w:rsid w:val="00E74DB3"/>
    <w:rsid w:val="00E74DDE"/>
    <w:rsid w:val="00E75084"/>
    <w:rsid w:val="00E75174"/>
    <w:rsid w:val="00E75EBA"/>
    <w:rsid w:val="00E763B4"/>
    <w:rsid w:val="00E7643E"/>
    <w:rsid w:val="00E76681"/>
    <w:rsid w:val="00E76987"/>
    <w:rsid w:val="00E769C3"/>
    <w:rsid w:val="00E76E80"/>
    <w:rsid w:val="00E76E84"/>
    <w:rsid w:val="00E776AF"/>
    <w:rsid w:val="00E77848"/>
    <w:rsid w:val="00E779FF"/>
    <w:rsid w:val="00E77E9D"/>
    <w:rsid w:val="00E77F34"/>
    <w:rsid w:val="00E80496"/>
    <w:rsid w:val="00E80514"/>
    <w:rsid w:val="00E8053E"/>
    <w:rsid w:val="00E8065A"/>
    <w:rsid w:val="00E8084B"/>
    <w:rsid w:val="00E80A11"/>
    <w:rsid w:val="00E80D8E"/>
    <w:rsid w:val="00E80E2C"/>
    <w:rsid w:val="00E80E5B"/>
    <w:rsid w:val="00E80E8C"/>
    <w:rsid w:val="00E80ECB"/>
    <w:rsid w:val="00E811D0"/>
    <w:rsid w:val="00E8121B"/>
    <w:rsid w:val="00E81338"/>
    <w:rsid w:val="00E81452"/>
    <w:rsid w:val="00E816C5"/>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4AC"/>
    <w:rsid w:val="00E9380D"/>
    <w:rsid w:val="00E93D98"/>
    <w:rsid w:val="00E93F32"/>
    <w:rsid w:val="00E9486C"/>
    <w:rsid w:val="00E94ABF"/>
    <w:rsid w:val="00E94CA4"/>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86"/>
    <w:rsid w:val="00EA0E4A"/>
    <w:rsid w:val="00EA154F"/>
    <w:rsid w:val="00EA1607"/>
    <w:rsid w:val="00EA16BA"/>
    <w:rsid w:val="00EA18AC"/>
    <w:rsid w:val="00EA18C5"/>
    <w:rsid w:val="00EA1A0E"/>
    <w:rsid w:val="00EA1A54"/>
    <w:rsid w:val="00EA2226"/>
    <w:rsid w:val="00EA23BD"/>
    <w:rsid w:val="00EA25FB"/>
    <w:rsid w:val="00EA2616"/>
    <w:rsid w:val="00EA26FC"/>
    <w:rsid w:val="00EA2FA5"/>
    <w:rsid w:val="00EA2FAD"/>
    <w:rsid w:val="00EA3B5A"/>
    <w:rsid w:val="00EA3F16"/>
    <w:rsid w:val="00EA410E"/>
    <w:rsid w:val="00EA496C"/>
    <w:rsid w:val="00EA4FD1"/>
    <w:rsid w:val="00EA5194"/>
    <w:rsid w:val="00EA53C2"/>
    <w:rsid w:val="00EA5695"/>
    <w:rsid w:val="00EA5B0A"/>
    <w:rsid w:val="00EA60EE"/>
    <w:rsid w:val="00EA64C5"/>
    <w:rsid w:val="00EA65AD"/>
    <w:rsid w:val="00EA6733"/>
    <w:rsid w:val="00EA79DD"/>
    <w:rsid w:val="00EA7FCF"/>
    <w:rsid w:val="00EB0594"/>
    <w:rsid w:val="00EB05A2"/>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F3F"/>
    <w:rsid w:val="00EB5033"/>
    <w:rsid w:val="00EB51E8"/>
    <w:rsid w:val="00EB524D"/>
    <w:rsid w:val="00EB5476"/>
    <w:rsid w:val="00EB552D"/>
    <w:rsid w:val="00EB5826"/>
    <w:rsid w:val="00EB59A1"/>
    <w:rsid w:val="00EB5B3E"/>
    <w:rsid w:val="00EB6216"/>
    <w:rsid w:val="00EB62F5"/>
    <w:rsid w:val="00EB631F"/>
    <w:rsid w:val="00EB64DA"/>
    <w:rsid w:val="00EB69A7"/>
    <w:rsid w:val="00EB6C04"/>
    <w:rsid w:val="00EB6D97"/>
    <w:rsid w:val="00EB70B0"/>
    <w:rsid w:val="00EB70D3"/>
    <w:rsid w:val="00EB760E"/>
    <w:rsid w:val="00EB7633"/>
    <w:rsid w:val="00EB7736"/>
    <w:rsid w:val="00EB78FB"/>
    <w:rsid w:val="00EB7A57"/>
    <w:rsid w:val="00EB7AF6"/>
    <w:rsid w:val="00EC0611"/>
    <w:rsid w:val="00EC07E3"/>
    <w:rsid w:val="00EC0907"/>
    <w:rsid w:val="00EC094A"/>
    <w:rsid w:val="00EC11D7"/>
    <w:rsid w:val="00EC1A0C"/>
    <w:rsid w:val="00EC2650"/>
    <w:rsid w:val="00EC2A62"/>
    <w:rsid w:val="00EC2E2D"/>
    <w:rsid w:val="00EC2ED8"/>
    <w:rsid w:val="00EC4350"/>
    <w:rsid w:val="00EC462B"/>
    <w:rsid w:val="00EC46E3"/>
    <w:rsid w:val="00EC4723"/>
    <w:rsid w:val="00EC488F"/>
    <w:rsid w:val="00EC4B0F"/>
    <w:rsid w:val="00EC4BDD"/>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DB6"/>
    <w:rsid w:val="00ED015E"/>
    <w:rsid w:val="00ED0220"/>
    <w:rsid w:val="00ED0C5C"/>
    <w:rsid w:val="00ED0CFC"/>
    <w:rsid w:val="00ED1449"/>
    <w:rsid w:val="00ED162E"/>
    <w:rsid w:val="00ED162F"/>
    <w:rsid w:val="00ED1652"/>
    <w:rsid w:val="00ED1ABE"/>
    <w:rsid w:val="00ED1E47"/>
    <w:rsid w:val="00ED1EED"/>
    <w:rsid w:val="00ED2905"/>
    <w:rsid w:val="00ED2C5E"/>
    <w:rsid w:val="00ED2E52"/>
    <w:rsid w:val="00ED3024"/>
    <w:rsid w:val="00ED393B"/>
    <w:rsid w:val="00ED3BE6"/>
    <w:rsid w:val="00ED44FF"/>
    <w:rsid w:val="00ED4573"/>
    <w:rsid w:val="00ED49F6"/>
    <w:rsid w:val="00ED4CA0"/>
    <w:rsid w:val="00ED4DF0"/>
    <w:rsid w:val="00ED505A"/>
    <w:rsid w:val="00ED51BF"/>
    <w:rsid w:val="00ED5AB7"/>
    <w:rsid w:val="00ED5ADA"/>
    <w:rsid w:val="00ED5C4A"/>
    <w:rsid w:val="00ED5CD5"/>
    <w:rsid w:val="00ED5E9D"/>
    <w:rsid w:val="00ED5FE4"/>
    <w:rsid w:val="00ED620C"/>
    <w:rsid w:val="00ED64B0"/>
    <w:rsid w:val="00ED6AB2"/>
    <w:rsid w:val="00ED7198"/>
    <w:rsid w:val="00ED71C5"/>
    <w:rsid w:val="00ED729E"/>
    <w:rsid w:val="00ED72E8"/>
    <w:rsid w:val="00ED770E"/>
    <w:rsid w:val="00EE056D"/>
    <w:rsid w:val="00EE05EE"/>
    <w:rsid w:val="00EE0DC0"/>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B1B"/>
    <w:rsid w:val="00EE534D"/>
    <w:rsid w:val="00EE5560"/>
    <w:rsid w:val="00EE5743"/>
    <w:rsid w:val="00EE5A66"/>
    <w:rsid w:val="00EE5FFB"/>
    <w:rsid w:val="00EE63D1"/>
    <w:rsid w:val="00EE672E"/>
    <w:rsid w:val="00EE68E6"/>
    <w:rsid w:val="00EE6DC7"/>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C07"/>
    <w:rsid w:val="00EF4CD6"/>
    <w:rsid w:val="00EF51A9"/>
    <w:rsid w:val="00EF5338"/>
    <w:rsid w:val="00EF55A0"/>
    <w:rsid w:val="00EF5718"/>
    <w:rsid w:val="00EF58EC"/>
    <w:rsid w:val="00EF5B1C"/>
    <w:rsid w:val="00EF5B4C"/>
    <w:rsid w:val="00EF5BBE"/>
    <w:rsid w:val="00EF62B5"/>
    <w:rsid w:val="00EF63D1"/>
    <w:rsid w:val="00EF6513"/>
    <w:rsid w:val="00EF6683"/>
    <w:rsid w:val="00EF66D5"/>
    <w:rsid w:val="00EF6A04"/>
    <w:rsid w:val="00EF6E6E"/>
    <w:rsid w:val="00EF7002"/>
    <w:rsid w:val="00EF7228"/>
    <w:rsid w:val="00EF769B"/>
    <w:rsid w:val="00EF794F"/>
    <w:rsid w:val="00EF796A"/>
    <w:rsid w:val="00EF7E58"/>
    <w:rsid w:val="00F000A8"/>
    <w:rsid w:val="00F0035F"/>
    <w:rsid w:val="00F00524"/>
    <w:rsid w:val="00F00593"/>
    <w:rsid w:val="00F00CBD"/>
    <w:rsid w:val="00F00ECF"/>
    <w:rsid w:val="00F0130C"/>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D"/>
    <w:rsid w:val="00F06651"/>
    <w:rsid w:val="00F06BDB"/>
    <w:rsid w:val="00F06CFC"/>
    <w:rsid w:val="00F07027"/>
    <w:rsid w:val="00F0712D"/>
    <w:rsid w:val="00F073D9"/>
    <w:rsid w:val="00F07641"/>
    <w:rsid w:val="00F07688"/>
    <w:rsid w:val="00F07AE0"/>
    <w:rsid w:val="00F07C88"/>
    <w:rsid w:val="00F07DE6"/>
    <w:rsid w:val="00F1042F"/>
    <w:rsid w:val="00F10433"/>
    <w:rsid w:val="00F1056C"/>
    <w:rsid w:val="00F107F1"/>
    <w:rsid w:val="00F10CBB"/>
    <w:rsid w:val="00F10F9F"/>
    <w:rsid w:val="00F10FC1"/>
    <w:rsid w:val="00F112FD"/>
    <w:rsid w:val="00F1140E"/>
    <w:rsid w:val="00F11561"/>
    <w:rsid w:val="00F12339"/>
    <w:rsid w:val="00F124FD"/>
    <w:rsid w:val="00F12A9F"/>
    <w:rsid w:val="00F12FA7"/>
    <w:rsid w:val="00F12FBF"/>
    <w:rsid w:val="00F133A1"/>
    <w:rsid w:val="00F136CA"/>
    <w:rsid w:val="00F136EF"/>
    <w:rsid w:val="00F138D4"/>
    <w:rsid w:val="00F13B87"/>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EAE"/>
    <w:rsid w:val="00F17F2F"/>
    <w:rsid w:val="00F17FDC"/>
    <w:rsid w:val="00F20577"/>
    <w:rsid w:val="00F207BE"/>
    <w:rsid w:val="00F216EA"/>
    <w:rsid w:val="00F216EE"/>
    <w:rsid w:val="00F218D4"/>
    <w:rsid w:val="00F21CB8"/>
    <w:rsid w:val="00F21D74"/>
    <w:rsid w:val="00F22471"/>
    <w:rsid w:val="00F2250A"/>
    <w:rsid w:val="00F226AE"/>
    <w:rsid w:val="00F22763"/>
    <w:rsid w:val="00F22B7B"/>
    <w:rsid w:val="00F22F1D"/>
    <w:rsid w:val="00F22FEB"/>
    <w:rsid w:val="00F2315C"/>
    <w:rsid w:val="00F232B8"/>
    <w:rsid w:val="00F2331E"/>
    <w:rsid w:val="00F235BE"/>
    <w:rsid w:val="00F23772"/>
    <w:rsid w:val="00F23E51"/>
    <w:rsid w:val="00F23F45"/>
    <w:rsid w:val="00F2454F"/>
    <w:rsid w:val="00F24788"/>
    <w:rsid w:val="00F247E0"/>
    <w:rsid w:val="00F250B4"/>
    <w:rsid w:val="00F256FC"/>
    <w:rsid w:val="00F257BF"/>
    <w:rsid w:val="00F25A5B"/>
    <w:rsid w:val="00F25B93"/>
    <w:rsid w:val="00F2640F"/>
    <w:rsid w:val="00F26B05"/>
    <w:rsid w:val="00F26BC2"/>
    <w:rsid w:val="00F27403"/>
    <w:rsid w:val="00F276A4"/>
    <w:rsid w:val="00F27A0C"/>
    <w:rsid w:val="00F27C34"/>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5EF"/>
    <w:rsid w:val="00F34915"/>
    <w:rsid w:val="00F34C82"/>
    <w:rsid w:val="00F34CD6"/>
    <w:rsid w:val="00F34D12"/>
    <w:rsid w:val="00F35242"/>
    <w:rsid w:val="00F35692"/>
    <w:rsid w:val="00F35873"/>
    <w:rsid w:val="00F35920"/>
    <w:rsid w:val="00F35B77"/>
    <w:rsid w:val="00F35E53"/>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57D"/>
    <w:rsid w:val="00F41C30"/>
    <w:rsid w:val="00F41F05"/>
    <w:rsid w:val="00F421E6"/>
    <w:rsid w:val="00F4231F"/>
    <w:rsid w:val="00F42585"/>
    <w:rsid w:val="00F4296F"/>
    <w:rsid w:val="00F42E80"/>
    <w:rsid w:val="00F42F45"/>
    <w:rsid w:val="00F42FD3"/>
    <w:rsid w:val="00F433BD"/>
    <w:rsid w:val="00F44B1E"/>
    <w:rsid w:val="00F44EC5"/>
    <w:rsid w:val="00F45140"/>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34"/>
    <w:rsid w:val="00F57C2E"/>
    <w:rsid w:val="00F57E2D"/>
    <w:rsid w:val="00F57E3A"/>
    <w:rsid w:val="00F57ECE"/>
    <w:rsid w:val="00F601E4"/>
    <w:rsid w:val="00F60284"/>
    <w:rsid w:val="00F6067D"/>
    <w:rsid w:val="00F6073C"/>
    <w:rsid w:val="00F60BE9"/>
    <w:rsid w:val="00F60F9F"/>
    <w:rsid w:val="00F61D18"/>
    <w:rsid w:val="00F61DEF"/>
    <w:rsid w:val="00F61FD8"/>
    <w:rsid w:val="00F62359"/>
    <w:rsid w:val="00F62826"/>
    <w:rsid w:val="00F62B9D"/>
    <w:rsid w:val="00F62DBF"/>
    <w:rsid w:val="00F634E6"/>
    <w:rsid w:val="00F635F5"/>
    <w:rsid w:val="00F63739"/>
    <w:rsid w:val="00F63F10"/>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888"/>
    <w:rsid w:val="00F7197E"/>
    <w:rsid w:val="00F719CD"/>
    <w:rsid w:val="00F71B02"/>
    <w:rsid w:val="00F71BB8"/>
    <w:rsid w:val="00F72170"/>
    <w:rsid w:val="00F72253"/>
    <w:rsid w:val="00F7238B"/>
    <w:rsid w:val="00F72400"/>
    <w:rsid w:val="00F72413"/>
    <w:rsid w:val="00F72584"/>
    <w:rsid w:val="00F7290D"/>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3D7"/>
    <w:rsid w:val="00F849E9"/>
    <w:rsid w:val="00F84EAF"/>
    <w:rsid w:val="00F84F20"/>
    <w:rsid w:val="00F8534B"/>
    <w:rsid w:val="00F85536"/>
    <w:rsid w:val="00F8555D"/>
    <w:rsid w:val="00F85A54"/>
    <w:rsid w:val="00F85C5E"/>
    <w:rsid w:val="00F85E17"/>
    <w:rsid w:val="00F85FA9"/>
    <w:rsid w:val="00F8617F"/>
    <w:rsid w:val="00F86357"/>
    <w:rsid w:val="00F8657A"/>
    <w:rsid w:val="00F865DC"/>
    <w:rsid w:val="00F8679A"/>
    <w:rsid w:val="00F869F3"/>
    <w:rsid w:val="00F86BD3"/>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0DC"/>
    <w:rsid w:val="00F9513F"/>
    <w:rsid w:val="00F957F6"/>
    <w:rsid w:val="00F95EB9"/>
    <w:rsid w:val="00F961F0"/>
    <w:rsid w:val="00F96225"/>
    <w:rsid w:val="00F96848"/>
    <w:rsid w:val="00F968F4"/>
    <w:rsid w:val="00F96A83"/>
    <w:rsid w:val="00F971DD"/>
    <w:rsid w:val="00F973C8"/>
    <w:rsid w:val="00F973CF"/>
    <w:rsid w:val="00F97784"/>
    <w:rsid w:val="00F97908"/>
    <w:rsid w:val="00F97B43"/>
    <w:rsid w:val="00F97D72"/>
    <w:rsid w:val="00F97D78"/>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0264"/>
    <w:rsid w:val="00FB06EE"/>
    <w:rsid w:val="00FB1320"/>
    <w:rsid w:val="00FB1527"/>
    <w:rsid w:val="00FB154A"/>
    <w:rsid w:val="00FB1AB7"/>
    <w:rsid w:val="00FB1C7B"/>
    <w:rsid w:val="00FB2537"/>
    <w:rsid w:val="00FB2749"/>
    <w:rsid w:val="00FB2892"/>
    <w:rsid w:val="00FB2F38"/>
    <w:rsid w:val="00FB33DC"/>
    <w:rsid w:val="00FB3937"/>
    <w:rsid w:val="00FB3C2A"/>
    <w:rsid w:val="00FB3D3F"/>
    <w:rsid w:val="00FB3E52"/>
    <w:rsid w:val="00FB3F08"/>
    <w:rsid w:val="00FB4338"/>
    <w:rsid w:val="00FB4481"/>
    <w:rsid w:val="00FB477E"/>
    <w:rsid w:val="00FB4A9D"/>
    <w:rsid w:val="00FB4C9C"/>
    <w:rsid w:val="00FB4D77"/>
    <w:rsid w:val="00FB54F3"/>
    <w:rsid w:val="00FB57D0"/>
    <w:rsid w:val="00FB58A1"/>
    <w:rsid w:val="00FB5B63"/>
    <w:rsid w:val="00FB6165"/>
    <w:rsid w:val="00FB616E"/>
    <w:rsid w:val="00FB667A"/>
    <w:rsid w:val="00FB67E7"/>
    <w:rsid w:val="00FB6AA2"/>
    <w:rsid w:val="00FB6EB3"/>
    <w:rsid w:val="00FB73E2"/>
    <w:rsid w:val="00FB754D"/>
    <w:rsid w:val="00FB7FB7"/>
    <w:rsid w:val="00FC0150"/>
    <w:rsid w:val="00FC01D9"/>
    <w:rsid w:val="00FC03AB"/>
    <w:rsid w:val="00FC08DF"/>
    <w:rsid w:val="00FC09EB"/>
    <w:rsid w:val="00FC0B28"/>
    <w:rsid w:val="00FC0C0C"/>
    <w:rsid w:val="00FC0DD8"/>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6633"/>
    <w:rsid w:val="00FD6A0C"/>
    <w:rsid w:val="00FD6F47"/>
    <w:rsid w:val="00FD6FB9"/>
    <w:rsid w:val="00FD78B1"/>
    <w:rsid w:val="00FD7DF9"/>
    <w:rsid w:val="00FE02C2"/>
    <w:rsid w:val="00FE08BE"/>
    <w:rsid w:val="00FE0B51"/>
    <w:rsid w:val="00FE0B78"/>
    <w:rsid w:val="00FE0D8C"/>
    <w:rsid w:val="00FE0ED4"/>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7CF"/>
    <w:rsid w:val="00FE6B57"/>
    <w:rsid w:val="00FE6D20"/>
    <w:rsid w:val="00FE6FB9"/>
    <w:rsid w:val="00FE7074"/>
    <w:rsid w:val="00FE73D7"/>
    <w:rsid w:val="00FE740B"/>
    <w:rsid w:val="00FE74C8"/>
    <w:rsid w:val="00FE7549"/>
    <w:rsid w:val="00FE767B"/>
    <w:rsid w:val="00FE77CF"/>
    <w:rsid w:val="00FE795F"/>
    <w:rsid w:val="00FE7BCC"/>
    <w:rsid w:val="00FF0090"/>
    <w:rsid w:val="00FF00E6"/>
    <w:rsid w:val="00FF0120"/>
    <w:rsid w:val="00FF088D"/>
    <w:rsid w:val="00FF0A09"/>
    <w:rsid w:val="00FF0B29"/>
    <w:rsid w:val="00FF0C76"/>
    <w:rsid w:val="00FF0EFB"/>
    <w:rsid w:val="00FF0F67"/>
    <w:rsid w:val="00FF1024"/>
    <w:rsid w:val="00FF10E3"/>
    <w:rsid w:val="00FF126D"/>
    <w:rsid w:val="00FF1709"/>
    <w:rsid w:val="00FF1F75"/>
    <w:rsid w:val="00FF2310"/>
    <w:rsid w:val="00FF23A1"/>
    <w:rsid w:val="00FF2570"/>
    <w:rsid w:val="00FF26E7"/>
    <w:rsid w:val="00FF2986"/>
    <w:rsid w:val="00FF2E73"/>
    <w:rsid w:val="00FF30CD"/>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FAC"/>
    <w:rsid w:val="00FF7FFA"/>
    <w:rsid w:val="021927EB"/>
    <w:rsid w:val="02414246"/>
    <w:rsid w:val="03120740"/>
    <w:rsid w:val="0357587A"/>
    <w:rsid w:val="035D436C"/>
    <w:rsid w:val="03E301DC"/>
    <w:rsid w:val="03E5364B"/>
    <w:rsid w:val="04314CCE"/>
    <w:rsid w:val="057C1EC6"/>
    <w:rsid w:val="06970257"/>
    <w:rsid w:val="06BF57A5"/>
    <w:rsid w:val="06C22768"/>
    <w:rsid w:val="06E2135B"/>
    <w:rsid w:val="07393BD6"/>
    <w:rsid w:val="08ED7EEA"/>
    <w:rsid w:val="09577486"/>
    <w:rsid w:val="095E7D9A"/>
    <w:rsid w:val="0A9001C9"/>
    <w:rsid w:val="0B124C0D"/>
    <w:rsid w:val="0B175C09"/>
    <w:rsid w:val="0BEE5DC6"/>
    <w:rsid w:val="0C3E127E"/>
    <w:rsid w:val="0C5E635B"/>
    <w:rsid w:val="0D09590A"/>
    <w:rsid w:val="0DA2594F"/>
    <w:rsid w:val="0DE94958"/>
    <w:rsid w:val="0E035004"/>
    <w:rsid w:val="0F6F4185"/>
    <w:rsid w:val="0F9E7C02"/>
    <w:rsid w:val="10063DF9"/>
    <w:rsid w:val="10707EAF"/>
    <w:rsid w:val="10A3332A"/>
    <w:rsid w:val="113443A3"/>
    <w:rsid w:val="115A429F"/>
    <w:rsid w:val="11E52227"/>
    <w:rsid w:val="134A37A1"/>
    <w:rsid w:val="134F39AB"/>
    <w:rsid w:val="14773BEF"/>
    <w:rsid w:val="148960EF"/>
    <w:rsid w:val="14F4091D"/>
    <w:rsid w:val="15CC0182"/>
    <w:rsid w:val="16366BFE"/>
    <w:rsid w:val="16B74A82"/>
    <w:rsid w:val="16ED6395"/>
    <w:rsid w:val="172C3DB9"/>
    <w:rsid w:val="173338EB"/>
    <w:rsid w:val="1B2841DB"/>
    <w:rsid w:val="1B3809EA"/>
    <w:rsid w:val="1B644FEE"/>
    <w:rsid w:val="1BE6266A"/>
    <w:rsid w:val="1D602B77"/>
    <w:rsid w:val="1D6832C6"/>
    <w:rsid w:val="1DCB34EB"/>
    <w:rsid w:val="1DF67446"/>
    <w:rsid w:val="1E7016EF"/>
    <w:rsid w:val="1EA463F6"/>
    <w:rsid w:val="1ED62BEE"/>
    <w:rsid w:val="1F081BC2"/>
    <w:rsid w:val="20616C7A"/>
    <w:rsid w:val="21D36DAA"/>
    <w:rsid w:val="2392417F"/>
    <w:rsid w:val="23C219EF"/>
    <w:rsid w:val="242F5943"/>
    <w:rsid w:val="25305194"/>
    <w:rsid w:val="26852B34"/>
    <w:rsid w:val="27D23B30"/>
    <w:rsid w:val="286805A5"/>
    <w:rsid w:val="288925D4"/>
    <w:rsid w:val="29E25B2D"/>
    <w:rsid w:val="2AC5609D"/>
    <w:rsid w:val="2BEE7045"/>
    <w:rsid w:val="2C17074D"/>
    <w:rsid w:val="2C510BAE"/>
    <w:rsid w:val="2E252EED"/>
    <w:rsid w:val="2E33127B"/>
    <w:rsid w:val="2EB861F6"/>
    <w:rsid w:val="2F85740E"/>
    <w:rsid w:val="30640BF1"/>
    <w:rsid w:val="308B087D"/>
    <w:rsid w:val="309147CB"/>
    <w:rsid w:val="30FF1FDF"/>
    <w:rsid w:val="31823271"/>
    <w:rsid w:val="3200273E"/>
    <w:rsid w:val="321A5DA3"/>
    <w:rsid w:val="33965ECA"/>
    <w:rsid w:val="33F2321A"/>
    <w:rsid w:val="349B2D91"/>
    <w:rsid w:val="35CB2AED"/>
    <w:rsid w:val="36222D91"/>
    <w:rsid w:val="369F68C7"/>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3FE36079"/>
    <w:rsid w:val="411C6A7D"/>
    <w:rsid w:val="41272088"/>
    <w:rsid w:val="421950CA"/>
    <w:rsid w:val="42ED0426"/>
    <w:rsid w:val="441419FA"/>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1E2420"/>
    <w:rsid w:val="4D8A5782"/>
    <w:rsid w:val="4DB507BE"/>
    <w:rsid w:val="4E10281F"/>
    <w:rsid w:val="4E6C736D"/>
    <w:rsid w:val="4EA24433"/>
    <w:rsid w:val="50C53878"/>
    <w:rsid w:val="51066E6C"/>
    <w:rsid w:val="51A25068"/>
    <w:rsid w:val="51D7281A"/>
    <w:rsid w:val="530E463F"/>
    <w:rsid w:val="53756032"/>
    <w:rsid w:val="547B5D00"/>
    <w:rsid w:val="551C7329"/>
    <w:rsid w:val="55A65422"/>
    <w:rsid w:val="55C80C24"/>
    <w:rsid w:val="561D56BA"/>
    <w:rsid w:val="567739E9"/>
    <w:rsid w:val="57055D52"/>
    <w:rsid w:val="575958D4"/>
    <w:rsid w:val="578053B2"/>
    <w:rsid w:val="578555B1"/>
    <w:rsid w:val="57F92107"/>
    <w:rsid w:val="58780418"/>
    <w:rsid w:val="58BC575C"/>
    <w:rsid w:val="58F5396E"/>
    <w:rsid w:val="59792330"/>
    <w:rsid w:val="5A58667A"/>
    <w:rsid w:val="5B4411D4"/>
    <w:rsid w:val="5B5A43CE"/>
    <w:rsid w:val="5C7F54AD"/>
    <w:rsid w:val="5D297319"/>
    <w:rsid w:val="5D3E1FD4"/>
    <w:rsid w:val="5E26585B"/>
    <w:rsid w:val="5EBE055C"/>
    <w:rsid w:val="5EE85D9E"/>
    <w:rsid w:val="5F2F0B24"/>
    <w:rsid w:val="5F820B97"/>
    <w:rsid w:val="603F2DD4"/>
    <w:rsid w:val="604E537A"/>
    <w:rsid w:val="615D4E86"/>
    <w:rsid w:val="62337851"/>
    <w:rsid w:val="62DA3790"/>
    <w:rsid w:val="63284C61"/>
    <w:rsid w:val="64D51681"/>
    <w:rsid w:val="656D3031"/>
    <w:rsid w:val="65BF47C7"/>
    <w:rsid w:val="65C74ECA"/>
    <w:rsid w:val="66336A04"/>
    <w:rsid w:val="66FE33D1"/>
    <w:rsid w:val="67187B44"/>
    <w:rsid w:val="681E3F92"/>
    <w:rsid w:val="68DB35F5"/>
    <w:rsid w:val="6A22393F"/>
    <w:rsid w:val="6AEB7BA5"/>
    <w:rsid w:val="6B09235D"/>
    <w:rsid w:val="6DAC52A9"/>
    <w:rsid w:val="6DCC5FC8"/>
    <w:rsid w:val="6DCF34A9"/>
    <w:rsid w:val="6E776DDD"/>
    <w:rsid w:val="6ED6370D"/>
    <w:rsid w:val="703D7ED7"/>
    <w:rsid w:val="70D87063"/>
    <w:rsid w:val="713C60C3"/>
    <w:rsid w:val="71E00456"/>
    <w:rsid w:val="725810CB"/>
    <w:rsid w:val="72673019"/>
    <w:rsid w:val="731F7D52"/>
    <w:rsid w:val="739A3454"/>
    <w:rsid w:val="748B3EEE"/>
    <w:rsid w:val="749F16E0"/>
    <w:rsid w:val="754751CB"/>
    <w:rsid w:val="75881504"/>
    <w:rsid w:val="75AE6F11"/>
    <w:rsid w:val="76342546"/>
    <w:rsid w:val="771871D7"/>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0"/>
    <w:qFormat/>
    <w:uiPriority w:val="0"/>
    <w:pPr>
      <w:keepNext/>
      <w:numPr>
        <w:ilvl w:val="0"/>
        <w:numId w:val="1"/>
      </w:numPr>
      <w:spacing w:before="120"/>
      <w:outlineLvl w:val="0"/>
    </w:pPr>
    <w:rPr>
      <w:b/>
      <w:bCs/>
      <w:sz w:val="28"/>
      <w:szCs w:val="28"/>
    </w:rPr>
  </w:style>
  <w:style w:type="paragraph" w:styleId="3">
    <w:name w:val="heading 2"/>
    <w:basedOn w:val="2"/>
    <w:next w:val="1"/>
    <w:link w:val="141"/>
    <w:qFormat/>
    <w:uiPriority w:val="0"/>
    <w:pPr>
      <w:numPr>
        <w:ilvl w:val="1"/>
      </w:numPr>
      <w:outlineLvl w:val="1"/>
    </w:pPr>
    <w:rPr>
      <w:sz w:val="24"/>
    </w:rPr>
  </w:style>
  <w:style w:type="paragraph" w:styleId="4">
    <w:name w:val="heading 3"/>
    <w:basedOn w:val="3"/>
    <w:next w:val="1"/>
    <w:link w:val="133"/>
    <w:qFormat/>
    <w:uiPriority w:val="0"/>
    <w:pPr>
      <w:numPr>
        <w:ilvl w:val="2"/>
      </w:numPr>
      <w:outlineLvl w:val="2"/>
    </w:pPr>
  </w:style>
  <w:style w:type="paragraph" w:styleId="5">
    <w:name w:val="heading 4"/>
    <w:basedOn w:val="4"/>
    <w:next w:val="1"/>
    <w:link w:val="137"/>
    <w:qFormat/>
    <w:uiPriority w:val="0"/>
    <w:pPr>
      <w:numPr>
        <w:ilvl w:val="3"/>
      </w:numPr>
      <w:tabs>
        <w:tab w:val="clear" w:pos="432"/>
      </w:tabs>
      <w:outlineLvl w:val="3"/>
    </w:pPr>
  </w:style>
  <w:style w:type="paragraph" w:styleId="6">
    <w:name w:val="heading 5"/>
    <w:basedOn w:val="1"/>
    <w:next w:val="1"/>
    <w:link w:val="142"/>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3"/>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7"/>
    <w:qFormat/>
    <w:uiPriority w:val="0"/>
    <w:rPr>
      <w:rFonts w:ascii="宋体"/>
      <w:kern w:val="2"/>
      <w:sz w:val="18"/>
      <w:szCs w:val="18"/>
      <w:lang w:val="en-GB"/>
    </w:rPr>
  </w:style>
  <w:style w:type="paragraph" w:styleId="16">
    <w:name w:val="annotation text"/>
    <w:basedOn w:val="1"/>
    <w:link w:val="54"/>
    <w:qFormat/>
    <w:uiPriority w:val="0"/>
    <w:pPr>
      <w:jc w:val="left"/>
    </w:pPr>
    <w:rPr>
      <w:kern w:val="2"/>
      <w:lang w:val="en-GB"/>
    </w:rPr>
  </w:style>
  <w:style w:type="paragraph" w:styleId="17">
    <w:name w:val="Body Text"/>
    <w:basedOn w:val="1"/>
    <w:link w:val="42"/>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143"/>
    <w:semiHidden/>
    <w:qFormat/>
    <w:uiPriority w:val="99"/>
    <w:rPr>
      <w:rFonts w:ascii="Tahoma" w:hAnsi="Tahoma" w:cs="Tahoma"/>
      <w:sz w:val="16"/>
      <w:szCs w:val="16"/>
    </w:rPr>
  </w:style>
  <w:style w:type="paragraph" w:styleId="20">
    <w:name w:val="footer"/>
    <w:basedOn w:val="1"/>
    <w:link w:val="51"/>
    <w:qFormat/>
    <w:uiPriority w:val="99"/>
    <w:pPr>
      <w:tabs>
        <w:tab w:val="center" w:pos="4680"/>
        <w:tab w:val="right" w:pos="9360"/>
      </w:tabs>
    </w:pPr>
    <w:rPr>
      <w:kern w:val="2"/>
      <w:lang w:val="en-GB" w:eastAsia="zh-CN"/>
    </w:rPr>
  </w:style>
  <w:style w:type="paragraph" w:styleId="21">
    <w:name w:val="header"/>
    <w:basedOn w:val="1"/>
    <w:link w:val="50"/>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8"/>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3"/>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5"/>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正文文本 Char"/>
    <w:basedOn w:val="34"/>
    <w:link w:val="17"/>
    <w:qFormat/>
    <w:uiPriority w:val="0"/>
  </w:style>
  <w:style w:type="character" w:customStyle="1" w:styleId="43">
    <w:name w:val="题注 Char"/>
    <w:link w:val="12"/>
    <w:qFormat/>
    <w:uiPriority w:val="0"/>
    <w:rPr>
      <w:b/>
      <w:bCs/>
      <w:kern w:val="2"/>
      <w:lang w:val="en-GB" w:eastAsia="zh-CN" w:bidi="ar-SA"/>
    </w:rPr>
  </w:style>
  <w:style w:type="paragraph" w:customStyle="1" w:styleId="44">
    <w:name w:val="References"/>
    <w:basedOn w:val="1"/>
    <w:qFormat/>
    <w:uiPriority w:val="0"/>
    <w:pPr>
      <w:numPr>
        <w:ilvl w:val="0"/>
        <w:numId w:val="2"/>
      </w:numPr>
      <w:adjustRightInd/>
      <w:spacing w:after="60"/>
    </w:pPr>
    <w:rPr>
      <w:sz w:val="20"/>
      <w:szCs w:val="16"/>
    </w:rPr>
  </w:style>
  <w:style w:type="character" w:customStyle="1" w:styleId="45">
    <w:name w:val="访问过的超链接1"/>
    <w:qFormat/>
    <w:uiPriority w:val="0"/>
    <w:rPr>
      <w:color w:val="800080"/>
      <w:kern w:val="2"/>
      <w:u w:val="single"/>
      <w:lang w:val="en-GB" w:eastAsia="zh-CN" w:bidi="ar-SA"/>
    </w:rPr>
  </w:style>
  <w:style w:type="paragraph" w:customStyle="1" w:styleId="46">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7">
    <w:name w:val="Figure"/>
    <w:basedOn w:val="1"/>
    <w:next w:val="12"/>
    <w:qFormat/>
    <w:uiPriority w:val="0"/>
    <w:pPr>
      <w:keepNext/>
      <w:jc w:val="center"/>
    </w:pPr>
  </w:style>
  <w:style w:type="paragraph" w:customStyle="1" w:styleId="48">
    <w:name w:val="Eqn"/>
    <w:basedOn w:val="1"/>
    <w:qFormat/>
    <w:uiPriority w:val="0"/>
    <w:pPr>
      <w:tabs>
        <w:tab w:val="center" w:pos="4608"/>
        <w:tab w:val="right" w:pos="9216"/>
      </w:tabs>
    </w:pPr>
    <w:rPr>
      <w:lang w:eastAsia="ja-JP"/>
    </w:rPr>
  </w:style>
  <w:style w:type="paragraph" w:customStyle="1" w:styleId="49">
    <w:name w:val="tablecell"/>
    <w:basedOn w:val="1"/>
    <w:qFormat/>
    <w:uiPriority w:val="0"/>
    <w:pPr>
      <w:spacing w:before="20" w:after="20"/>
      <w:jc w:val="left"/>
    </w:pPr>
  </w:style>
  <w:style w:type="character" w:customStyle="1" w:styleId="50">
    <w:name w:val="页眉 Char"/>
    <w:link w:val="21"/>
    <w:qFormat/>
    <w:uiPriority w:val="0"/>
    <w:rPr>
      <w:kern w:val="2"/>
      <w:sz w:val="22"/>
      <w:szCs w:val="22"/>
      <w:lang w:val="en-GB" w:eastAsia="zh-CN" w:bidi="ar-SA"/>
    </w:rPr>
  </w:style>
  <w:style w:type="character" w:customStyle="1" w:styleId="51">
    <w:name w:val="页脚 Char"/>
    <w:link w:val="20"/>
    <w:qFormat/>
    <w:uiPriority w:val="99"/>
    <w:rPr>
      <w:kern w:val="2"/>
      <w:sz w:val="22"/>
      <w:szCs w:val="22"/>
      <w:lang w:val="en-GB" w:eastAsia="zh-CN" w:bidi="ar-SA"/>
    </w:rPr>
  </w:style>
  <w:style w:type="paragraph" w:customStyle="1" w:styleId="52">
    <w:name w:val="tablecol"/>
    <w:basedOn w:val="49"/>
    <w:qFormat/>
    <w:uiPriority w:val="0"/>
    <w:pPr>
      <w:jc w:val="center"/>
    </w:pPr>
    <w:rPr>
      <w:b/>
    </w:rPr>
  </w:style>
  <w:style w:type="character" w:customStyle="1" w:styleId="53">
    <w:name w:val="标题 Char"/>
    <w:link w:val="30"/>
    <w:qFormat/>
    <w:uiPriority w:val="0"/>
    <w:rPr>
      <w:rFonts w:ascii="Calibri Light" w:hAnsi="Calibri Light" w:cs="Times New Roman"/>
      <w:b/>
      <w:bCs/>
      <w:kern w:val="2"/>
      <w:sz w:val="32"/>
      <w:szCs w:val="32"/>
      <w:lang w:val="en-GB" w:eastAsia="en-US" w:bidi="ar-SA"/>
    </w:rPr>
  </w:style>
  <w:style w:type="character" w:customStyle="1" w:styleId="54">
    <w:name w:val="批注文字 Char"/>
    <w:link w:val="16"/>
    <w:qFormat/>
    <w:uiPriority w:val="0"/>
    <w:rPr>
      <w:kern w:val="2"/>
      <w:sz w:val="22"/>
      <w:szCs w:val="22"/>
      <w:lang w:val="en-GB" w:eastAsia="en-US" w:bidi="ar-SA"/>
    </w:rPr>
  </w:style>
  <w:style w:type="character" w:customStyle="1" w:styleId="55">
    <w:name w:val="批注主题 Char"/>
    <w:link w:val="31"/>
    <w:qFormat/>
    <w:uiPriority w:val="99"/>
    <w:rPr>
      <w:b/>
      <w:bCs/>
      <w:kern w:val="2"/>
      <w:sz w:val="22"/>
      <w:szCs w:val="22"/>
      <w:lang w:val="en-GB" w:eastAsia="en-US" w:bidi="ar-SA"/>
    </w:rPr>
  </w:style>
  <w:style w:type="paragraph" w:customStyle="1" w:styleId="56">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7">
    <w:name w:val="文档结构图 Char"/>
    <w:link w:val="15"/>
    <w:qFormat/>
    <w:uiPriority w:val="0"/>
    <w:rPr>
      <w:rFonts w:ascii="宋体"/>
      <w:kern w:val="2"/>
      <w:sz w:val="18"/>
      <w:szCs w:val="18"/>
      <w:lang w:val="en-GB" w:eastAsia="en-US" w:bidi="ar-SA"/>
    </w:rPr>
  </w:style>
  <w:style w:type="paragraph" w:customStyle="1" w:styleId="58">
    <w:name w:val="List Paragraph1"/>
    <w:basedOn w:val="1"/>
    <w:link w:val="61"/>
    <w:qFormat/>
    <w:uiPriority w:val="34"/>
    <w:pPr>
      <w:ind w:left="720"/>
      <w:contextualSpacing/>
    </w:pPr>
  </w:style>
  <w:style w:type="character" w:customStyle="1" w:styleId="59">
    <w:name w:val="Placeholder Text1"/>
    <w:basedOn w:val="34"/>
    <w:semiHidden/>
    <w:qFormat/>
    <w:uiPriority w:val="99"/>
    <w:rPr>
      <w:color w:val="808080"/>
    </w:rPr>
  </w:style>
  <w:style w:type="paragraph" w:customStyle="1" w:styleId="60">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1">
    <w:name w:val="List Paragraph Char"/>
    <w:link w:val="58"/>
    <w:qFormat/>
    <w:uiPriority w:val="34"/>
    <w:rPr>
      <w:sz w:val="22"/>
      <w:szCs w:val="22"/>
      <w:lang w:eastAsia="en-US"/>
    </w:rPr>
  </w:style>
  <w:style w:type="paragraph" w:customStyle="1" w:styleId="62">
    <w:name w:val="TAH"/>
    <w:basedOn w:val="63"/>
    <w:link w:val="65"/>
    <w:qFormat/>
    <w:uiPriority w:val="0"/>
    <w:rPr>
      <w:b/>
    </w:rPr>
  </w:style>
  <w:style w:type="paragraph" w:customStyle="1" w:styleId="63">
    <w:name w:val="TAC"/>
    <w:basedOn w:val="1"/>
    <w:link w:val="64"/>
    <w:qFormat/>
    <w:uiPriority w:val="0"/>
    <w:pPr>
      <w:keepNext/>
      <w:keepLines/>
      <w:autoSpaceDE/>
      <w:autoSpaceDN/>
      <w:adjustRightInd/>
      <w:snapToGrid/>
      <w:spacing w:after="0"/>
      <w:jc w:val="center"/>
    </w:pPr>
    <w:rPr>
      <w:rFonts w:ascii="Arial" w:hAnsi="Arial"/>
      <w:sz w:val="18"/>
      <w:szCs w:val="20"/>
      <w:lang w:val="en-GB"/>
    </w:rPr>
  </w:style>
  <w:style w:type="character" w:customStyle="1" w:styleId="64">
    <w:name w:val="TAC Char"/>
    <w:link w:val="63"/>
    <w:qFormat/>
    <w:locked/>
    <w:uiPriority w:val="0"/>
    <w:rPr>
      <w:rFonts w:ascii="Arial" w:hAnsi="Arial"/>
      <w:sz w:val="18"/>
      <w:lang w:val="en-GB" w:eastAsia="en-US"/>
    </w:rPr>
  </w:style>
  <w:style w:type="character" w:customStyle="1" w:styleId="65">
    <w:name w:val="TAH Car"/>
    <w:link w:val="62"/>
    <w:qFormat/>
    <w:uiPriority w:val="0"/>
    <w:rPr>
      <w:rFonts w:ascii="Arial" w:hAnsi="Arial"/>
      <w:b/>
      <w:sz w:val="18"/>
      <w:lang w:val="en-GB" w:eastAsia="en-US"/>
    </w:rPr>
  </w:style>
  <w:style w:type="paragraph" w:customStyle="1" w:styleId="66">
    <w:name w:val="RAN1 bullet1"/>
    <w:basedOn w:val="1"/>
    <w:link w:val="67"/>
    <w:qFormat/>
    <w:uiPriority w:val="0"/>
    <w:pPr>
      <w:autoSpaceDE/>
      <w:autoSpaceDN/>
      <w:adjustRightInd/>
      <w:snapToGrid/>
      <w:spacing w:after="0"/>
      <w:jc w:val="left"/>
    </w:pPr>
    <w:rPr>
      <w:rFonts w:ascii="Times" w:hAnsi="Times" w:eastAsia="Batang"/>
      <w:sz w:val="20"/>
      <w:szCs w:val="24"/>
      <w:lang w:val="en-GB"/>
    </w:rPr>
  </w:style>
  <w:style w:type="character" w:customStyle="1" w:styleId="67">
    <w:name w:val="RAN1 bullet1 Char"/>
    <w:link w:val="66"/>
    <w:qFormat/>
    <w:uiPriority w:val="0"/>
    <w:rPr>
      <w:rFonts w:ascii="Times" w:hAnsi="Times" w:eastAsia="Batang"/>
      <w:szCs w:val="24"/>
      <w:lang w:val="en-GB"/>
    </w:rPr>
  </w:style>
  <w:style w:type="paragraph" w:customStyle="1" w:styleId="68">
    <w:name w:val="main text"/>
    <w:basedOn w:val="1"/>
    <w:link w:val="69"/>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69">
    <w:name w:val="main text Char"/>
    <w:link w:val="68"/>
    <w:qFormat/>
    <w:uiPriority w:val="0"/>
    <w:rPr>
      <w:rFonts w:eastAsia="Malgun Gothic" w:cs="Batang"/>
      <w:kern w:val="2"/>
      <w:lang w:val="en-GB" w:eastAsia="ko-KR"/>
    </w:rPr>
  </w:style>
  <w:style w:type="paragraph" w:customStyle="1" w:styleId="70">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1">
    <w:name w:val="B1"/>
    <w:basedOn w:val="14"/>
    <w:link w:val="72"/>
    <w:qFormat/>
    <w:uiPriority w:val="0"/>
    <w:pPr>
      <w:autoSpaceDE/>
      <w:autoSpaceDN/>
      <w:adjustRightInd/>
      <w:snapToGrid/>
      <w:spacing w:after="180"/>
      <w:ind w:left="568" w:hanging="284"/>
      <w:jc w:val="left"/>
    </w:pPr>
    <w:rPr>
      <w:sz w:val="20"/>
      <w:szCs w:val="20"/>
      <w:lang w:val="en-GB"/>
    </w:rPr>
  </w:style>
  <w:style w:type="character" w:customStyle="1" w:styleId="72">
    <w:name w:val="B1 (文字)"/>
    <w:link w:val="71"/>
    <w:qFormat/>
    <w:locked/>
    <w:uiPriority w:val="0"/>
    <w:rPr>
      <w:rFonts w:eastAsiaTheme="minorEastAsia"/>
      <w:lang w:val="en-GB" w:eastAsia="en-US"/>
    </w:rPr>
  </w:style>
  <w:style w:type="paragraph" w:customStyle="1" w:styleId="73">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4">
    <w:name w:val="B1 Zchn"/>
    <w:qFormat/>
    <w:uiPriority w:val="0"/>
    <w:rPr>
      <w:lang w:eastAsia="en-US"/>
    </w:rPr>
  </w:style>
  <w:style w:type="paragraph" w:customStyle="1" w:styleId="75">
    <w:name w:val="Comments"/>
    <w:basedOn w:val="1"/>
    <w:link w:val="76"/>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6">
    <w:name w:val="Comments Char"/>
    <w:link w:val="75"/>
    <w:qFormat/>
    <w:uiPriority w:val="0"/>
    <w:rPr>
      <w:rFonts w:ascii="Arial" w:hAnsi="Arial" w:eastAsia="MS Mincho"/>
      <w:i/>
      <w:sz w:val="18"/>
      <w:szCs w:val="24"/>
      <w:lang w:val="en-GB" w:eastAsia="en-GB"/>
    </w:rPr>
  </w:style>
  <w:style w:type="paragraph" w:customStyle="1" w:styleId="77">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8">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79">
    <w:name w:val="Proposal"/>
    <w:basedOn w:val="1"/>
    <w:link w:val="109"/>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0">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1">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2">
    <w:name w:val="bullet level 1"/>
    <w:basedOn w:val="80"/>
    <w:qFormat/>
    <w:uiPriority w:val="0"/>
    <w:pPr>
      <w:numPr>
        <w:ilvl w:val="0"/>
      </w:numPr>
      <w:ind w:left="720" w:hanging="360"/>
    </w:pPr>
  </w:style>
  <w:style w:type="paragraph" w:customStyle="1" w:styleId="83">
    <w:name w:val="bullet level 2"/>
    <w:basedOn w:val="80"/>
    <w:qFormat/>
    <w:uiPriority w:val="0"/>
    <w:pPr>
      <w:numPr>
        <w:ilvl w:val="1"/>
      </w:numPr>
    </w:pPr>
    <w:rPr>
      <w:lang w:val="en-AU"/>
    </w:rPr>
  </w:style>
  <w:style w:type="paragraph" w:customStyle="1" w:styleId="84">
    <w:name w:val="bullet level 4"/>
    <w:basedOn w:val="80"/>
    <w:qFormat/>
    <w:uiPriority w:val="0"/>
    <w:pPr>
      <w:numPr>
        <w:ilvl w:val="3"/>
      </w:numPr>
      <w:ind w:left="2880" w:hanging="360"/>
    </w:pPr>
    <w:rPr>
      <w:lang w:val="en-AU"/>
    </w:rPr>
  </w:style>
  <w:style w:type="paragraph" w:customStyle="1" w:styleId="85">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6">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7">
    <w:name w:val="3GPP Normal Text"/>
    <w:basedOn w:val="17"/>
    <w:link w:val="88"/>
    <w:qFormat/>
    <w:uiPriority w:val="0"/>
    <w:pPr>
      <w:autoSpaceDE/>
      <w:autoSpaceDN/>
      <w:adjustRightInd/>
      <w:snapToGrid/>
      <w:spacing w:after="60"/>
    </w:pPr>
    <w:rPr>
      <w:rFonts w:eastAsia="MS Mincho"/>
      <w:szCs w:val="24"/>
    </w:rPr>
  </w:style>
  <w:style w:type="character" w:customStyle="1" w:styleId="88">
    <w:name w:val="3GPP Normal Text Char"/>
    <w:link w:val="87"/>
    <w:qFormat/>
    <w:uiPriority w:val="0"/>
    <w:rPr>
      <w:rFonts w:eastAsia="MS Mincho"/>
      <w:szCs w:val="24"/>
      <w:lang w:eastAsia="en-US"/>
    </w:rPr>
  </w:style>
  <w:style w:type="paragraph" w:customStyle="1" w:styleId="89">
    <w:name w:val="Observation"/>
    <w:basedOn w:val="79"/>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sz w:val="20"/>
      <w:szCs w:val="20"/>
      <w:lang w:val="en-GB"/>
    </w:rPr>
  </w:style>
  <w:style w:type="paragraph" w:customStyle="1" w:styleId="90">
    <w:name w:val="N1"/>
    <w:basedOn w:val="1"/>
    <w:link w:val="91"/>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1">
    <w:name w:val="N1 Char"/>
    <w:link w:val="90"/>
    <w:qFormat/>
    <w:uiPriority w:val="0"/>
    <w:rPr>
      <w:rFonts w:ascii="Calibri" w:hAnsi="Calibri" w:eastAsia="MS Mincho" w:cs="Calibri"/>
      <w:sz w:val="22"/>
      <w:szCs w:val="22"/>
      <w:lang w:eastAsia="ko-KR" w:bidi="hi-IN"/>
    </w:rPr>
  </w:style>
  <w:style w:type="paragraph" w:customStyle="1" w:styleId="92">
    <w:name w:val="N4"/>
    <w:basedOn w:val="1"/>
    <w:link w:val="93"/>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3">
    <w:name w:val="N4 Char"/>
    <w:link w:val="92"/>
    <w:qFormat/>
    <w:uiPriority w:val="0"/>
    <w:rPr>
      <w:rFonts w:ascii="Calibri" w:hAnsi="Calibri" w:eastAsia="MS Mincho" w:cs="Calibri"/>
      <w:sz w:val="22"/>
      <w:szCs w:val="22"/>
      <w:lang w:eastAsia="ko-KR" w:bidi="hi-IN"/>
    </w:rPr>
  </w:style>
  <w:style w:type="table" w:customStyle="1" w:styleId="94">
    <w:name w:val="网格型1"/>
    <w:basedOn w:val="32"/>
    <w:qFormat/>
    <w:uiPriority w:val="59"/>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5">
    <w:name w:val="스타일1"/>
    <w:basedOn w:val="1"/>
    <w:link w:val="96"/>
    <w:qFormat/>
    <w:uiPriority w:val="0"/>
    <w:pPr>
      <w:autoSpaceDE/>
      <w:autoSpaceDN/>
      <w:adjustRightInd/>
      <w:snapToGrid/>
      <w:spacing w:before="60" w:after="180" w:line="360" w:lineRule="atLeast"/>
    </w:pPr>
    <w:rPr>
      <w:szCs w:val="20"/>
      <w:lang w:val="en-GB" w:eastAsia="ko-KR"/>
    </w:rPr>
  </w:style>
  <w:style w:type="character" w:customStyle="1" w:styleId="96">
    <w:name w:val="스타일1 Char"/>
    <w:basedOn w:val="34"/>
    <w:link w:val="95"/>
    <w:qFormat/>
    <w:uiPriority w:val="0"/>
    <w:rPr>
      <w:rFonts w:eastAsiaTheme="minorEastAsia"/>
      <w:sz w:val="22"/>
      <w:lang w:val="en-GB" w:eastAsia="ko-KR"/>
    </w:rPr>
  </w:style>
  <w:style w:type="character" w:customStyle="1" w:styleId="97">
    <w:name w:val="short_text"/>
    <w:basedOn w:val="34"/>
    <w:qFormat/>
    <w:uiPriority w:val="0"/>
  </w:style>
  <w:style w:type="paragraph" w:customStyle="1" w:styleId="98">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99">
    <w:name w:val="TH"/>
    <w:basedOn w:val="1"/>
    <w:link w:val="100"/>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0">
    <w:name w:val="TH Char"/>
    <w:link w:val="99"/>
    <w:qFormat/>
    <w:uiPriority w:val="0"/>
    <w:rPr>
      <w:rFonts w:ascii="Arial" w:hAnsi="Arial"/>
      <w:b/>
      <w:lang w:val="en-GB" w:eastAsia="en-US"/>
    </w:rPr>
  </w:style>
  <w:style w:type="paragraph" w:customStyle="1" w:styleId="101">
    <w:name w:val="TAL"/>
    <w:basedOn w:val="1"/>
    <w:link w:val="102"/>
    <w:qFormat/>
    <w:uiPriority w:val="99"/>
    <w:pPr>
      <w:keepNext/>
      <w:keepLines/>
      <w:autoSpaceDE/>
      <w:autoSpaceDN/>
      <w:adjustRightInd/>
      <w:snapToGrid/>
      <w:spacing w:after="0"/>
      <w:jc w:val="left"/>
    </w:pPr>
    <w:rPr>
      <w:rFonts w:ascii="Arial" w:hAnsi="Arial"/>
      <w:sz w:val="18"/>
      <w:szCs w:val="20"/>
      <w:lang w:val="en-GB"/>
    </w:rPr>
  </w:style>
  <w:style w:type="character" w:customStyle="1" w:styleId="102">
    <w:name w:val="TAL Char"/>
    <w:link w:val="101"/>
    <w:qFormat/>
    <w:uiPriority w:val="0"/>
    <w:rPr>
      <w:rFonts w:ascii="Arial" w:hAnsi="Arial"/>
      <w:sz w:val="18"/>
      <w:lang w:val="en-GB" w:eastAsia="en-US"/>
    </w:rPr>
  </w:style>
  <w:style w:type="paragraph" w:customStyle="1" w:styleId="103">
    <w:name w:val="TAN"/>
    <w:basedOn w:val="101"/>
    <w:qFormat/>
    <w:uiPriority w:val="0"/>
    <w:pPr>
      <w:ind w:left="851" w:hanging="851"/>
    </w:pPr>
  </w:style>
  <w:style w:type="character" w:customStyle="1" w:styleId="104">
    <w:name w:val="B1 Char1"/>
    <w:qFormat/>
    <w:uiPriority w:val="0"/>
    <w:rPr>
      <w:rFonts w:eastAsia="Times New Roman"/>
      <w:lang w:val="en-GB" w:eastAsia="en-GB"/>
    </w:rPr>
  </w:style>
  <w:style w:type="paragraph" w:customStyle="1" w:styleId="105">
    <w:name w:val="B2"/>
    <w:basedOn w:val="18"/>
    <w:link w:val="106"/>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6">
    <w:name w:val="B2 Char"/>
    <w:link w:val="105"/>
    <w:qFormat/>
    <w:locked/>
    <w:uiPriority w:val="0"/>
    <w:rPr>
      <w:rFonts w:eastAsia="Times New Roman"/>
      <w:lang w:val="en-GB" w:eastAsia="en-GB"/>
    </w:rPr>
  </w:style>
  <w:style w:type="paragraph" w:customStyle="1" w:styleId="107">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8">
    <w:name w:val="题注 Char1"/>
    <w:qFormat/>
    <w:uiPriority w:val="0"/>
    <w:rPr>
      <w:rFonts w:ascii="Times New Roman" w:hAnsi="Times New Roman" w:eastAsia="Times New Roman" w:cs="Times New Roman"/>
      <w:kern w:val="0"/>
      <w:sz w:val="20"/>
      <w:szCs w:val="20"/>
      <w:lang w:val="en-GB" w:eastAsia="en-US"/>
    </w:rPr>
  </w:style>
  <w:style w:type="character" w:customStyle="1" w:styleId="109">
    <w:name w:val="Proposal Char"/>
    <w:basedOn w:val="34"/>
    <w:link w:val="79"/>
    <w:qFormat/>
    <w:uiPriority w:val="0"/>
    <w:rPr>
      <w:rFonts w:asciiTheme="minorHAnsi" w:hAnsiTheme="minorHAnsi" w:eastAsiaTheme="minorEastAsia" w:cstheme="minorBidi"/>
      <w:b/>
      <w:bCs/>
      <w:sz w:val="22"/>
      <w:szCs w:val="22"/>
    </w:rPr>
  </w:style>
  <w:style w:type="paragraph" w:customStyle="1" w:styleId="110">
    <w:name w:val="NO"/>
    <w:basedOn w:val="1"/>
    <w:link w:val="111"/>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1">
    <w:name w:val="NO Char"/>
    <w:link w:val="110"/>
    <w:qFormat/>
    <w:uiPriority w:val="0"/>
    <w:rPr>
      <w:rFonts w:eastAsia="宋体"/>
      <w:lang w:val="en-GB" w:eastAsia="en-US"/>
    </w:rPr>
  </w:style>
  <w:style w:type="character" w:customStyle="1" w:styleId="112">
    <w:name w:val="Caption Char3"/>
    <w:qFormat/>
    <w:uiPriority w:val="35"/>
    <w:rPr>
      <w:rFonts w:ascii="Times New Roman" w:hAnsi="Times New Roman" w:eastAsia="Times New Roman" w:cs="Times New Roman"/>
      <w:kern w:val="0"/>
      <w:sz w:val="20"/>
      <w:szCs w:val="20"/>
      <w:lang w:val="en-GB" w:eastAsia="en-US"/>
    </w:rPr>
  </w:style>
  <w:style w:type="table" w:customStyle="1" w:styleId="113">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4">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5">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6">
    <w:name w:val="apple-converted-space"/>
    <w:basedOn w:val="34"/>
    <w:qFormat/>
    <w:uiPriority w:val="0"/>
  </w:style>
  <w:style w:type="paragraph" w:customStyle="1" w:styleId="117">
    <w:name w:val="Default"/>
    <w:unhideWhenUsed/>
    <w:qFormat/>
    <w:uiPriority w:val="99"/>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8">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19">
    <w:name w:val="List Paragraph11"/>
    <w:basedOn w:val="1"/>
    <w:qFormat/>
    <w:uiPriority w:val="0"/>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0">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1">
    <w:name w:val="List Paragraph8"/>
    <w:basedOn w:val="1"/>
    <w:unhideWhenUsed/>
    <w:qFormat/>
    <w:uiPriority w:val="34"/>
    <w:pPr>
      <w:ind w:left="720"/>
      <w:contextualSpacing/>
    </w:pPr>
  </w:style>
  <w:style w:type="character" w:customStyle="1" w:styleId="122">
    <w:name w:val="normaltextrun"/>
    <w:basedOn w:val="34"/>
    <w:qFormat/>
    <w:uiPriority w:val="0"/>
  </w:style>
  <w:style w:type="paragraph" w:customStyle="1" w:styleId="123">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4">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5">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6">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7">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8">
    <w:name w:val="脚注文本 Char"/>
    <w:basedOn w:val="34"/>
    <w:link w:val="23"/>
    <w:semiHidden/>
    <w:qFormat/>
    <w:uiPriority w:val="0"/>
    <w:rPr>
      <w:rFonts w:eastAsiaTheme="minorEastAsia"/>
      <w:lang w:eastAsia="en-US"/>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0">
    <w:name w:val="ZGSM"/>
    <w:qFormat/>
    <w:uiPriority w:val="0"/>
  </w:style>
  <w:style w:type="paragraph" w:customStyle="1" w:styleId="131">
    <w:name w:val="0 Main text"/>
    <w:basedOn w:val="1"/>
    <w:link w:val="132"/>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2">
    <w:name w:val="0 Main text Char"/>
    <w:basedOn w:val="34"/>
    <w:link w:val="131"/>
    <w:qFormat/>
    <w:uiPriority w:val="0"/>
    <w:rPr>
      <w:rFonts w:eastAsia="Malgun Gothic" w:cs="Batang"/>
      <w:lang w:val="en-GB" w:eastAsia="en-US"/>
    </w:rPr>
  </w:style>
  <w:style w:type="character" w:customStyle="1" w:styleId="133">
    <w:name w:val="标题 3 Char"/>
    <w:basedOn w:val="34"/>
    <w:link w:val="4"/>
    <w:qFormat/>
    <w:uiPriority w:val="0"/>
    <w:rPr>
      <w:rFonts w:eastAsiaTheme="minorEastAsia"/>
      <w:b/>
      <w:bCs/>
      <w:sz w:val="24"/>
      <w:szCs w:val="28"/>
      <w:lang w:eastAsia="en-US"/>
    </w:rPr>
  </w:style>
  <w:style w:type="paragraph" w:customStyle="1" w:styleId="134">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5">
    <w:name w:val="paragraph"/>
    <w:basedOn w:val="1"/>
    <w:qFormat/>
    <w:uiPriority w:val="0"/>
    <w:pPr>
      <w:spacing w:after="0"/>
    </w:pPr>
    <w:rPr>
      <w:sz w:val="24"/>
      <w:szCs w:val="24"/>
    </w:rPr>
  </w:style>
  <w:style w:type="paragraph" w:customStyle="1" w:styleId="136">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7">
    <w:name w:val="标题 4 Char"/>
    <w:basedOn w:val="34"/>
    <w:link w:val="5"/>
    <w:qFormat/>
    <w:uiPriority w:val="0"/>
    <w:rPr>
      <w:rFonts w:eastAsiaTheme="minorEastAsia"/>
      <w:b/>
      <w:bCs/>
      <w:sz w:val="24"/>
      <w:szCs w:val="28"/>
      <w:lang w:eastAsia="en-US"/>
    </w:rPr>
  </w:style>
  <w:style w:type="paragraph" w:customStyle="1" w:styleId="138">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39">
    <w:name w:val="eop"/>
    <w:qFormat/>
    <w:uiPriority w:val="0"/>
  </w:style>
  <w:style w:type="character" w:customStyle="1" w:styleId="140">
    <w:name w:val="标题 1 Char"/>
    <w:basedOn w:val="34"/>
    <w:link w:val="2"/>
    <w:qFormat/>
    <w:uiPriority w:val="0"/>
    <w:rPr>
      <w:rFonts w:eastAsiaTheme="minorEastAsia"/>
      <w:b/>
      <w:bCs/>
      <w:sz w:val="28"/>
      <w:szCs w:val="28"/>
      <w:lang w:eastAsia="en-US"/>
    </w:rPr>
  </w:style>
  <w:style w:type="character" w:customStyle="1" w:styleId="141">
    <w:name w:val="标题 2 Char"/>
    <w:link w:val="3"/>
    <w:qFormat/>
    <w:uiPriority w:val="0"/>
    <w:rPr>
      <w:rFonts w:eastAsiaTheme="minorEastAsia"/>
      <w:b/>
      <w:bCs/>
      <w:sz w:val="24"/>
      <w:szCs w:val="28"/>
      <w:lang w:eastAsia="en-US"/>
    </w:rPr>
  </w:style>
  <w:style w:type="character" w:customStyle="1" w:styleId="142">
    <w:name w:val="标题 5 Char"/>
    <w:link w:val="6"/>
    <w:qFormat/>
    <w:uiPriority w:val="0"/>
    <w:rPr>
      <w:rFonts w:eastAsiaTheme="minorEastAsia"/>
      <w:b/>
      <w:bCs/>
      <w:i/>
      <w:iCs/>
      <w:sz w:val="22"/>
      <w:szCs w:val="26"/>
      <w:lang w:eastAsia="en-US"/>
    </w:rPr>
  </w:style>
  <w:style w:type="character" w:customStyle="1" w:styleId="143">
    <w:name w:val="批注框文本 Char"/>
    <w:link w:val="19"/>
    <w:semiHidden/>
    <w:qFormat/>
    <w:uiPriority w:val="99"/>
    <w:rPr>
      <w:rFonts w:ascii="Tahoma" w:hAnsi="Tahoma" w:cs="Tahoma" w:eastAsiaTheme="minorEastAsia"/>
      <w:sz w:val="16"/>
      <w:szCs w:val="16"/>
      <w:lang w:eastAsia="en-US"/>
    </w:rPr>
  </w:style>
  <w:style w:type="character" w:customStyle="1" w:styleId="144">
    <w:name w:val="标题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8"/>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5"/>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7"/>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locked/>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99"/>
    <w:pPr>
      <w:ind w:firstLine="420" w:firstLineChars="200"/>
    </w:pPr>
  </w:style>
  <w:style w:type="character" w:styleId="178">
    <w:name w:val="Placeholder Text"/>
    <w:basedOn w:val="34"/>
    <w:semiHidden/>
    <w:qFormat/>
    <w:uiPriority w:val="99"/>
    <w:rPr>
      <w:color w:val="808080"/>
    </w:rPr>
  </w:style>
  <w:style w:type="character" w:customStyle="1" w:styleId="179">
    <w:name w:val="B3 Char2"/>
    <w:qFormat/>
    <w:uiPriority w:val="0"/>
    <w:rPr>
      <w:rFonts w:ascii="Times New Roman" w:hAnsi="Times New Roman"/>
      <w:lang w:eastAsia="ja-JP"/>
    </w:rPr>
  </w:style>
  <w:style w:type="paragraph" w:customStyle="1" w:styleId="180">
    <w:name w:val="H6"/>
    <w:basedOn w:val="6"/>
    <w:next w:val="1"/>
    <w:qFormat/>
    <w:uiPriority w:val="0"/>
    <w:pPr>
      <w:keepLines/>
      <w:numPr>
        <w:ilvl w:val="0"/>
        <w:numId w:val="0"/>
      </w:numPr>
      <w:tabs>
        <w:tab w:val="clear" w:pos="1008"/>
      </w:tabs>
      <w:autoSpaceDE/>
      <w:autoSpaceDN/>
      <w:adjustRightInd/>
      <w:snapToGrid/>
      <w:spacing w:after="180"/>
      <w:ind w:left="1985" w:hanging="1985"/>
      <w:jc w:val="left"/>
      <w:outlineLvl w:val="9"/>
    </w:pPr>
    <w:rPr>
      <w:rFonts w:ascii="Arial" w:hAnsi="Arial"/>
      <w:b w:val="0"/>
      <w:bCs w:val="0"/>
      <w:i w:val="0"/>
      <w:iCs w:val="0"/>
      <w:sz w:val="20"/>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7AEB1-B0D2-48FB-AB0F-81158088062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1722</Words>
  <Characters>9817</Characters>
  <Lines>81</Lines>
  <Paragraphs>23</Paragraphs>
  <TotalTime>65</TotalTime>
  <ScaleCrop>false</ScaleCrop>
  <LinksUpToDate>false</LinksUpToDate>
  <CharactersWithSpaces>11516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2022-04-28T09:24:00Z</dcterms:created>
  <dc:creator>ZTE-Ziyang</dc:creator>
  <cp:keywords>CTPClassification=CTP_NT</cp:keywords>
  <cp:lastModifiedBy>ZTE-Ziyang</cp:lastModifiedBy>
  <cp:lastPrinted>2007-06-18T05:08:00Z</cp:lastPrinted>
  <dcterms:modified xsi:type="dcterms:W3CDTF">2022-04-29T17:05:57Z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(3)6TEB9/ZbGbOb7ErzNCBwj53DQqL/uqS6+a1AG4Nczt/kXBwO+xfWWqkoN9yfMUMi/uHjmIpS
0xgAqZQOlHLRrWD36lkU8WDJD56CbxxFfB5YzTe/FEWJQB2hxtpYPo38mhWJT4XIlZDLqQSH
mcXyFUhZjmS2f9M1O/yGdtl5q2tHWLsX1ubqRNi/EmEO2OxzoNVy32dFOv2xBuG8hPy8cQyD
O1eBpzm1lI1d++VUMQ</vt:lpwstr>
  </property>
  <property fmtid="{D5CDD505-2E9C-101B-9397-08002B2CF9AE}" pid="13" name="_2015_ms_pID_725343_00">
    <vt:lpwstr>_2015_ms_pID_725343</vt:lpwstr>
  </property>
  <property fmtid="{D5CDD505-2E9C-101B-9397-08002B2CF9AE}" pid="14" name="_2015_ms_pID_7253431">
    <vt:lpwstr>/uUPW9MCltxEylfhm8AjnA4WRd/fPRLNmQo1DsW1wXzrEqU+rK9gu/
DSwWF2o7Q6gXD4NzW75UO6ozavmZ3mJuvDtZfNabC2LAf/lqsUXKSuya/LOQHG+M7I8rI0KH
21gA74r3Jxd25/2NHSZAvwH3+mI8cijncy6F5cEKFJIg7njBrFgTG+3yEuIfWYlVSe8Yu8qE
w8Ejpj/c+vcqTYGgHZaIbD+/YpFulkvMn5Xx</vt:lpwstr>
  </property>
  <property fmtid="{D5CDD505-2E9C-101B-9397-08002B2CF9AE}" pid="15" name="_2015_ms_pID_7253431_00">
    <vt:lpwstr>_2015_ms_pID_7253431</vt:lpwstr>
  </property>
  <property fmtid="{D5CDD505-2E9C-101B-9397-08002B2CF9AE}" pid="16" name="_2015_ms_pID_7253432">
    <vt:lpwstr>Y5UEPs6cMGxbqjpyHilOES8lCGDyXeXB0Z4Z
MCXwudFIw63pFZzUloW8VsnEiBH1SF3NgIOeHvcNdLnjtVbexJ0=</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1545984669</vt:lpwstr>
  </property>
  <property fmtid="{D5CDD505-2E9C-101B-9397-08002B2CF9AE}" pid="28" name="KSOProductBuildVer">
    <vt:lpwstr>2052-11.8.2.9022</vt:lpwstr>
  </property>
  <property fmtid="{D5CDD505-2E9C-101B-9397-08002B2CF9AE}" pid="29" name="CTPClassification">
    <vt:lpwstr>CTP_NT</vt:lpwstr>
  </property>
</Properties>
</file>